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370"/>
        <w:gridCol w:w="5990"/>
      </w:tblGrid>
      <w:tr w:rsidR="00233E4D" w:rsidRPr="00233E4D" w:rsidTr="00233E4D">
        <w:tc>
          <w:tcPr>
            <w:tcW w:w="1800" w:type="pct"/>
            <w:hideMark/>
          </w:tcPr>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t>BỘ TÀI CHÍNH</w:t>
            </w:r>
            <w:r w:rsidRPr="00233E4D">
              <w:rPr>
                <w:rFonts w:ascii="Times New Roman" w:eastAsia="Times New Roman" w:hAnsi="Times New Roman" w:cs="Times New Roman"/>
                <w:b/>
                <w:bCs/>
                <w:color w:val="222222"/>
                <w:sz w:val="24"/>
                <w:szCs w:val="24"/>
              </w:rPr>
              <w:br/>
            </w:r>
            <w:r w:rsidRPr="00233E4D">
              <w:rPr>
                <w:rFonts w:ascii="Times New Roman" w:eastAsia="Times New Roman" w:hAnsi="Times New Roman" w:cs="Times New Roman"/>
                <w:color w:val="222222"/>
                <w:sz w:val="24"/>
                <w:szCs w:val="24"/>
                <w:vertAlign w:val="superscript"/>
              </w:rPr>
              <w:t>__________</w:t>
            </w:r>
          </w:p>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color w:val="222222"/>
                <w:sz w:val="24"/>
                <w:szCs w:val="24"/>
              </w:rPr>
              <w:t>Số: 12/2025/TT-BTC</w:t>
            </w:r>
          </w:p>
        </w:tc>
        <w:tc>
          <w:tcPr>
            <w:tcW w:w="3200" w:type="pct"/>
            <w:hideMark/>
          </w:tcPr>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t>CỘNG HÒA XÃ HỘI CHỦ NGHĨA VIỆT NAM</w:t>
            </w:r>
            <w:r w:rsidRPr="00233E4D">
              <w:rPr>
                <w:rFonts w:ascii="Times New Roman" w:eastAsia="Times New Roman" w:hAnsi="Times New Roman" w:cs="Times New Roman"/>
                <w:b/>
                <w:bCs/>
                <w:color w:val="222222"/>
                <w:sz w:val="24"/>
                <w:szCs w:val="24"/>
              </w:rPr>
              <w:br/>
              <w:t>Độc lập - Tự do - Hạnh phúc</w:t>
            </w:r>
            <w:r w:rsidRPr="00233E4D">
              <w:rPr>
                <w:rFonts w:ascii="Times New Roman" w:eastAsia="Times New Roman" w:hAnsi="Times New Roman" w:cs="Times New Roman"/>
                <w:b/>
                <w:bCs/>
                <w:color w:val="222222"/>
                <w:sz w:val="24"/>
                <w:szCs w:val="24"/>
              </w:rPr>
              <w:br/>
            </w:r>
            <w:r w:rsidRPr="00233E4D">
              <w:rPr>
                <w:rFonts w:ascii="Times New Roman" w:eastAsia="Times New Roman" w:hAnsi="Times New Roman" w:cs="Times New Roman"/>
                <w:color w:val="222222"/>
                <w:sz w:val="24"/>
                <w:szCs w:val="24"/>
                <w:vertAlign w:val="superscript"/>
              </w:rPr>
              <w:t>______________________</w:t>
            </w:r>
          </w:p>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i/>
                <w:iCs/>
                <w:color w:val="222222"/>
                <w:sz w:val="24"/>
                <w:szCs w:val="24"/>
              </w:rPr>
              <w:t>Hà Nội, ngày 19 tháng 3 năm 2025</w:t>
            </w:r>
          </w:p>
        </w:tc>
      </w:tr>
    </w:tbl>
    <w:p w:rsidR="00233E4D" w:rsidRPr="00233E4D" w:rsidRDefault="00233E4D" w:rsidP="00233E4D">
      <w:pPr>
        <w:spacing w:before="100" w:beforeAutospacing="1" w:after="100" w:afterAutospacing="1" w:line="240" w:lineRule="auto"/>
        <w:jc w:val="center"/>
        <w:rPr>
          <w:rFonts w:ascii="Arial" w:eastAsia="Times New Roman" w:hAnsi="Arial" w:cs="Arial"/>
          <w:color w:val="222222"/>
          <w:sz w:val="26"/>
          <w:szCs w:val="26"/>
        </w:rPr>
      </w:pPr>
      <w:r w:rsidRPr="00233E4D">
        <w:rPr>
          <w:rFonts w:ascii="Arial" w:eastAsia="Times New Roman" w:hAnsi="Arial" w:cs="Arial"/>
          <w:b/>
          <w:bCs/>
          <w:color w:val="222222"/>
          <w:sz w:val="26"/>
          <w:szCs w:val="26"/>
        </w:rPr>
        <w:t>THÔNG TƯ</w:t>
      </w:r>
    </w:p>
    <w:p w:rsidR="00233E4D" w:rsidRPr="00233E4D" w:rsidRDefault="00233E4D" w:rsidP="00233E4D">
      <w:pPr>
        <w:spacing w:before="100" w:beforeAutospacing="1" w:after="100" w:afterAutospacing="1" w:line="240" w:lineRule="auto"/>
        <w:jc w:val="center"/>
        <w:rPr>
          <w:rFonts w:ascii="Arial" w:eastAsia="Times New Roman" w:hAnsi="Arial" w:cs="Arial"/>
          <w:color w:val="222222"/>
          <w:sz w:val="26"/>
          <w:szCs w:val="26"/>
        </w:rPr>
      </w:pPr>
      <w:r w:rsidRPr="00233E4D">
        <w:rPr>
          <w:rFonts w:ascii="Arial" w:eastAsia="Times New Roman" w:hAnsi="Arial" w:cs="Arial"/>
          <w:b/>
          <w:bCs/>
          <w:color w:val="222222"/>
          <w:sz w:val="26"/>
          <w:szCs w:val="26"/>
        </w:rPr>
        <w:t>Sửa đổi, bổ sung một số điều của Thông tư số </w:t>
      </w:r>
      <w:r w:rsidRPr="00233E4D">
        <w:rPr>
          <w:rFonts w:ascii="Arial" w:eastAsia="Times New Roman" w:hAnsi="Arial" w:cs="Arial"/>
          <w:b/>
          <w:bCs/>
          <w:color w:val="A67C52"/>
          <w:sz w:val="26"/>
          <w:szCs w:val="26"/>
        </w:rPr>
        <w:t>40/2017/TT-BTC</w:t>
      </w:r>
      <w:r w:rsidRPr="00233E4D">
        <w:rPr>
          <w:rFonts w:ascii="Arial" w:eastAsia="Times New Roman" w:hAnsi="Arial" w:cs="Arial"/>
          <w:b/>
          <w:bCs/>
          <w:color w:val="222222"/>
          <w:sz w:val="26"/>
          <w:szCs w:val="26"/>
        </w:rPr>
        <w:br/>
        <w:t>ngày 28 tháng 4 năm 2017 của Bộ trưởng Bộ Tài chính</w:t>
      </w:r>
      <w:r w:rsidRPr="00233E4D">
        <w:rPr>
          <w:rFonts w:ascii="Arial" w:eastAsia="Times New Roman" w:hAnsi="Arial" w:cs="Arial"/>
          <w:b/>
          <w:bCs/>
          <w:color w:val="222222"/>
          <w:sz w:val="26"/>
          <w:szCs w:val="26"/>
        </w:rPr>
        <w:br/>
        <w:t>quy định chế độ công tác phí, chế độ chi hội nghị</w:t>
      </w:r>
    </w:p>
    <w:p w:rsidR="00233E4D" w:rsidRPr="00233E4D" w:rsidRDefault="00233E4D" w:rsidP="00233E4D">
      <w:pPr>
        <w:spacing w:before="100" w:beforeAutospacing="1" w:after="100" w:afterAutospacing="1" w:line="240" w:lineRule="auto"/>
        <w:jc w:val="center"/>
        <w:rPr>
          <w:rFonts w:ascii="Arial" w:eastAsia="Times New Roman" w:hAnsi="Arial" w:cs="Arial"/>
          <w:color w:val="222222"/>
          <w:sz w:val="26"/>
          <w:szCs w:val="26"/>
        </w:rPr>
      </w:pPr>
      <w:r w:rsidRPr="00233E4D">
        <w:rPr>
          <w:rFonts w:ascii="Arial" w:eastAsia="Times New Roman" w:hAnsi="Arial" w:cs="Arial"/>
          <w:color w:val="222222"/>
          <w:sz w:val="26"/>
          <w:szCs w:val="26"/>
          <w:vertAlign w:val="superscript"/>
        </w:rPr>
        <w:t>________________</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Căn cứ Luật Ban hành văn bản quy phạm pháp luật ngày 22 tháng 06 năm 2015; Luật sửa đổi, bổ sung một số điều của Luật Ban hành quy phạm pháp luật ngày 18 tháng 6 năm 2020;</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Căn cứ Luật Ngân sách nhà nước ngày 25 tháng 06 năm 2015; Luật sửa đổi, bổ sung một số điều của Luật Chứng khoán, Luật Kế toán, Luật Kiểm toán độc lập, Luật Ngân sách nhà nước, Luật Quản lý, sử dụng tài sản công, Luật Quản lý thuế, Luật Dự trữ quốc gia, Luật Thuế thu nhập cá nhân và Luật Xử lý vi phạm hành chính ngày 29 tháng 11 năm 2024;</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Căn cứ Luật Cán bộ, công chức ngày 13 tháng 11 năm 2008;</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Căn cứ </w:t>
      </w:r>
      <w:r w:rsidRPr="00233E4D">
        <w:rPr>
          <w:rFonts w:ascii="Arial" w:eastAsia="Times New Roman" w:hAnsi="Arial" w:cs="Arial"/>
          <w:i/>
          <w:iCs/>
          <w:color w:val="A67C52"/>
          <w:sz w:val="26"/>
          <w:szCs w:val="26"/>
        </w:rPr>
        <w:t>Luật Viên chức </w:t>
      </w:r>
      <w:r w:rsidRPr="00233E4D">
        <w:rPr>
          <w:rFonts w:ascii="Arial" w:eastAsia="Times New Roman" w:hAnsi="Arial" w:cs="Arial"/>
          <w:i/>
          <w:iCs/>
          <w:color w:val="222222"/>
          <w:sz w:val="26"/>
          <w:szCs w:val="26"/>
        </w:rPr>
        <w:t>ngày 15 tháng 11 năm 2010;</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Căn cứ Nghị định số 163/2016/NĐ-CP ngày 21 tháng 12 năm 2016 của Chính phủ quy định chi tiết thi hành một số điều của Luật Ngân sách nhà nước;</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Căn cứ Nghị định số </w:t>
      </w:r>
      <w:r w:rsidRPr="00233E4D">
        <w:rPr>
          <w:rFonts w:ascii="Arial" w:eastAsia="Times New Roman" w:hAnsi="Arial" w:cs="Arial"/>
          <w:i/>
          <w:iCs/>
          <w:color w:val="A67C52"/>
          <w:sz w:val="26"/>
          <w:szCs w:val="26"/>
        </w:rPr>
        <w:t>72/2023/NĐ-CP</w:t>
      </w:r>
      <w:r w:rsidRPr="00233E4D">
        <w:rPr>
          <w:rFonts w:ascii="Arial" w:eastAsia="Times New Roman" w:hAnsi="Arial" w:cs="Arial"/>
          <w:i/>
          <w:iCs/>
          <w:color w:val="222222"/>
          <w:sz w:val="26"/>
          <w:szCs w:val="26"/>
        </w:rPr>
        <w:t> ngày 26 tháng 09 năm 2023 của Chính phủ quy định tiêu chuẩn, định mức sử dụng xe ô tô;</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Căn cứ Nghị định số 29/2025/NĐ-CP ngày 24 tháng 02 năm 2025 của Chính phủ quy định chức năng, nhiệm vụ, quyền hạn và cơ cấu tổ chức của Bộ Tài chính;</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Theo đề nghị của Vụ trưởng Vụ Tài chính - Kinh tế ngành;</w:t>
      </w:r>
    </w:p>
    <w:p w:rsidR="00233E4D" w:rsidRPr="00233E4D" w:rsidRDefault="00233E4D" w:rsidP="00233E4D">
      <w:pPr>
        <w:spacing w:before="100" w:beforeAutospacing="1" w:after="100" w:afterAutospacing="1" w:line="240" w:lineRule="auto"/>
        <w:ind w:firstLine="720"/>
        <w:jc w:val="both"/>
        <w:rPr>
          <w:rFonts w:ascii="Arial" w:eastAsia="Times New Roman" w:hAnsi="Arial" w:cs="Arial"/>
          <w:color w:val="222222"/>
          <w:sz w:val="26"/>
          <w:szCs w:val="26"/>
        </w:rPr>
      </w:pPr>
      <w:r w:rsidRPr="00233E4D">
        <w:rPr>
          <w:rFonts w:ascii="Arial" w:eastAsia="Times New Roman" w:hAnsi="Arial" w:cs="Arial"/>
          <w:i/>
          <w:iCs/>
          <w:color w:val="222222"/>
          <w:sz w:val="26"/>
          <w:szCs w:val="26"/>
        </w:rPr>
        <w:t>Bộ trưởng Bộ Tài chính ban hành Thông tư sửa đổi, bổ sung một số điều </w:t>
      </w:r>
      <w:r w:rsidRPr="00233E4D">
        <w:rPr>
          <w:rFonts w:ascii="Arial" w:eastAsia="Times New Roman" w:hAnsi="Arial" w:cs="Arial"/>
          <w:i/>
          <w:iCs/>
          <w:color w:val="222222"/>
          <w:sz w:val="26"/>
          <w:szCs w:val="26"/>
          <w:lang w:val="vi-VN"/>
        </w:rPr>
        <w:t>của Thông tư số 40/2017/ TT-BTC ngày 28 tháng 4 n</w:t>
      </w:r>
      <w:r w:rsidRPr="00233E4D">
        <w:rPr>
          <w:rFonts w:ascii="Arial" w:eastAsia="Times New Roman" w:hAnsi="Arial" w:cs="Arial"/>
          <w:i/>
          <w:iCs/>
          <w:color w:val="222222"/>
          <w:sz w:val="26"/>
          <w:szCs w:val="26"/>
        </w:rPr>
        <w:t>ăm 2017 của Bộ trưởng Bộ Tài chính quy định chế động công tác phí, chế độ chi hội nghị.</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b/>
          <w:bCs/>
          <w:color w:val="2E2E2E"/>
          <w:sz w:val="26"/>
          <w:szCs w:val="26"/>
        </w:rPr>
        <w:lastRenderedPageBreak/>
        <w:t>Điều 1. Sửa đổi, bổ sung một số điều của Thông tư số </w:t>
      </w:r>
      <w:r w:rsidRPr="00233E4D">
        <w:rPr>
          <w:rFonts w:ascii="Arial" w:eastAsia="Times New Roman" w:hAnsi="Arial" w:cs="Arial"/>
          <w:b/>
          <w:bCs/>
          <w:color w:val="A67C52"/>
          <w:sz w:val="26"/>
          <w:szCs w:val="26"/>
        </w:rPr>
        <w:t>40/2017/TT-BTC</w:t>
      </w:r>
      <w:r w:rsidRPr="00233E4D">
        <w:rPr>
          <w:rFonts w:ascii="Arial" w:eastAsia="Times New Roman" w:hAnsi="Arial" w:cs="Arial"/>
          <w:b/>
          <w:bCs/>
          <w:color w:val="2E2E2E"/>
          <w:sz w:val="26"/>
          <w:szCs w:val="26"/>
        </w:rPr>
        <w:t> ngày 28 tháng 4 năm 2017 của Bộ trưởng Bộ Tài chính quy định chế độ công tác phí, chế độ chi hội nghị (sau đây gọi tắt là Thông tư số </w:t>
      </w:r>
      <w:r w:rsidRPr="00233E4D">
        <w:rPr>
          <w:rFonts w:ascii="Arial" w:eastAsia="Times New Roman" w:hAnsi="Arial" w:cs="Arial"/>
          <w:b/>
          <w:bCs/>
          <w:color w:val="A67C52"/>
          <w:sz w:val="26"/>
          <w:szCs w:val="26"/>
        </w:rPr>
        <w:t>40/2017/TT-BTC</w:t>
      </w:r>
      <w:r w:rsidRPr="00233E4D">
        <w:rPr>
          <w:rFonts w:ascii="Arial" w:eastAsia="Times New Roman" w:hAnsi="Arial" w:cs="Arial"/>
          <w:b/>
          <w:bCs/>
          <w:color w:val="2E2E2E"/>
          <w:sz w:val="26"/>
          <w:szCs w:val="26"/>
        </w:rPr>
        <w:t>) như sau:</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1. Sửa đổi, bổ sung </w:t>
      </w:r>
      <w:hyperlink r:id="rId4" w:history="1">
        <w:r w:rsidRPr="00233E4D">
          <w:rPr>
            <w:rFonts w:ascii="Arial" w:eastAsia="Times New Roman" w:hAnsi="Arial" w:cs="Arial"/>
            <w:color w:val="0000FF"/>
            <w:sz w:val="26"/>
            <w:szCs w:val="26"/>
            <w:u w:val="single"/>
          </w:rPr>
          <w:t>điểm c khoản 1 Điều 5</w:t>
        </w:r>
      </w:hyperlink>
      <w:r w:rsidRPr="00233E4D">
        <w:rPr>
          <w:rFonts w:ascii="Arial" w:eastAsia="Times New Roman" w:hAnsi="Arial" w:cs="Arial"/>
          <w:color w:val="2E2E2E"/>
          <w:sz w:val="26"/>
          <w:szCs w:val="26"/>
        </w:rPr>
        <w:t> như sau</w:t>
      </w:r>
      <w:proofErr w:type="gramStart"/>
      <w:r w:rsidRPr="00233E4D">
        <w:rPr>
          <w:rFonts w:ascii="Arial" w:eastAsia="Times New Roman" w:hAnsi="Arial" w:cs="Arial"/>
          <w:color w:val="2E2E2E"/>
          <w:sz w:val="26"/>
          <w:szCs w:val="26"/>
        </w:rPr>
        <w:t>:</w:t>
      </w:r>
      <w:proofErr w:type="gramEnd"/>
      <w:r w:rsidRPr="00233E4D">
        <w:rPr>
          <w:rFonts w:ascii="Arial" w:eastAsia="Times New Roman" w:hAnsi="Arial" w:cs="Arial"/>
          <w:color w:val="2E2E2E"/>
          <w:sz w:val="26"/>
          <w:szCs w:val="26"/>
        </w:rPr>
        <w:br/>
        <w:t>“c) Quy định về tiêu chuẩn mua vé máy bay đi công tác trong nước:</w:t>
      </w:r>
      <w:r w:rsidRPr="00233E4D">
        <w:rPr>
          <w:rFonts w:ascii="Arial" w:eastAsia="Times New Roman" w:hAnsi="Arial" w:cs="Arial"/>
          <w:color w:val="2E2E2E"/>
          <w:sz w:val="26"/>
          <w:szCs w:val="26"/>
        </w:rPr>
        <w:br/>
        <w:t>- Đối với lãnh đạo cấp cao (trên cấp Bộ trưởng) thực hiện theo quy định hiện hành của Nhà nước.</w:t>
      </w:r>
      <w:r w:rsidRPr="00233E4D">
        <w:rPr>
          <w:rFonts w:ascii="Arial" w:eastAsia="Times New Roman" w:hAnsi="Arial" w:cs="Arial"/>
          <w:color w:val="2E2E2E"/>
          <w:sz w:val="26"/>
          <w:szCs w:val="26"/>
        </w:rPr>
        <w:br/>
        <w:t>- Hạng ghế thương gia (Business class hoặc C class) dành cho lãnh đạo cấp Bộ trưởng và các chức danh tương đương; Thứ trưởng và cán bộ lãnh đạo có hệ số phụ cấp chức vụ từ 1</w:t>
      </w:r>
      <w:proofErr w:type="gramStart"/>
      <w:r w:rsidRPr="00233E4D">
        <w:rPr>
          <w:rFonts w:ascii="Arial" w:eastAsia="Times New Roman" w:hAnsi="Arial" w:cs="Arial"/>
          <w:color w:val="2E2E2E"/>
          <w:sz w:val="26"/>
          <w:szCs w:val="26"/>
        </w:rPr>
        <w:t>,3</w:t>
      </w:r>
      <w:proofErr w:type="gramEnd"/>
      <w:r w:rsidRPr="00233E4D">
        <w:rPr>
          <w:rFonts w:ascii="Arial" w:eastAsia="Times New Roman" w:hAnsi="Arial" w:cs="Arial"/>
          <w:color w:val="2E2E2E"/>
          <w:sz w:val="26"/>
          <w:szCs w:val="26"/>
        </w:rPr>
        <w:t xml:space="preserve"> trở lên; Phó trưởng các đoàn thể chính trị - xã hội ở Trung ương; Bí thư Thường trực Trung ương Đoàn Thanh niên Cộng sản Hồ Chí Minh.</w:t>
      </w:r>
      <w:r w:rsidRPr="00233E4D">
        <w:rPr>
          <w:rFonts w:ascii="Arial" w:eastAsia="Times New Roman" w:hAnsi="Arial" w:cs="Arial"/>
          <w:color w:val="2E2E2E"/>
          <w:sz w:val="26"/>
          <w:szCs w:val="26"/>
        </w:rPr>
        <w:br/>
        <w:t>- Hạng ghế phổ thông đặc biệt, linh hoạt (như: Premium, Deluxe, Plus, Flex</w:t>
      </w:r>
      <w:proofErr w:type="gramStart"/>
      <w:r w:rsidRPr="00233E4D">
        <w:rPr>
          <w:rFonts w:ascii="Arial" w:eastAsia="Times New Roman" w:hAnsi="Arial" w:cs="Arial"/>
          <w:color w:val="2E2E2E"/>
          <w:sz w:val="26"/>
          <w:szCs w:val="26"/>
        </w:rPr>
        <w:t>,...</w:t>
      </w:r>
      <w:proofErr w:type="gramEnd"/>
      <w:r w:rsidRPr="00233E4D">
        <w:rPr>
          <w:rFonts w:ascii="Arial" w:eastAsia="Times New Roman" w:hAnsi="Arial" w:cs="Arial"/>
          <w:color w:val="2E2E2E"/>
          <w:sz w:val="26"/>
          <w:szCs w:val="26"/>
        </w:rPr>
        <w:t>) dành cho cán bộ lãnh đạo được hưởng hệ số phụ cấp chức vụ theo chức danh lãnh đạo đó từ 0,8 đến 1,25 nhưng không thuộc đối tượng mua vé hạng thương gia (Business class hoặc c class).</w:t>
      </w:r>
      <w:r w:rsidRPr="00233E4D">
        <w:rPr>
          <w:rFonts w:ascii="Arial" w:eastAsia="Times New Roman" w:hAnsi="Arial" w:cs="Arial"/>
          <w:color w:val="2E2E2E"/>
          <w:sz w:val="26"/>
          <w:szCs w:val="26"/>
        </w:rPr>
        <w:br/>
        <w:t>Trường hợp do yêu cầu công tác đột xuất nhưng không mua được các hạng vé phổ thông, các cán bộ lãnh đạo được hưởng hệ số phụ cấp chức vụ theo chức danh lãnh đạo đó từ 0</w:t>
      </w:r>
      <w:proofErr w:type="gramStart"/>
      <w:r w:rsidRPr="00233E4D">
        <w:rPr>
          <w:rFonts w:ascii="Arial" w:eastAsia="Times New Roman" w:hAnsi="Arial" w:cs="Arial"/>
          <w:color w:val="2E2E2E"/>
          <w:sz w:val="26"/>
          <w:szCs w:val="26"/>
        </w:rPr>
        <w:t>,8</w:t>
      </w:r>
      <w:proofErr w:type="gramEnd"/>
      <w:r w:rsidRPr="00233E4D">
        <w:rPr>
          <w:rFonts w:ascii="Arial" w:eastAsia="Times New Roman" w:hAnsi="Arial" w:cs="Arial"/>
          <w:color w:val="2E2E2E"/>
          <w:sz w:val="26"/>
          <w:szCs w:val="26"/>
        </w:rPr>
        <w:t xml:space="preserve"> đến 1,25 được mua vé máy bay hạng thương gia (Business class hoặc C class). Bộ trưởng, thủ trưởng cơ quan ở trung ương, Hội đồng nhân dân tỉnh, thành phố trực thuộc trung ương quy định cụ thể về việc áp dụng quy định này bảo đảm phù hợp với đặc thù và khả năng cân đối của cơ quan, đơn vị, địa phương mình.</w:t>
      </w:r>
      <w:r w:rsidRPr="00233E4D">
        <w:rPr>
          <w:rFonts w:ascii="Arial" w:eastAsia="Times New Roman" w:hAnsi="Arial" w:cs="Arial"/>
          <w:color w:val="2E2E2E"/>
          <w:sz w:val="26"/>
          <w:szCs w:val="26"/>
        </w:rPr>
        <w:br/>
        <w:t>- Hạng ghế phổ thông: Dành cho các đối tượng còn lại”.</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2. Sửa đổi, bổ sung </w:t>
      </w:r>
      <w:hyperlink r:id="rId5" w:history="1">
        <w:r w:rsidRPr="00233E4D">
          <w:rPr>
            <w:rFonts w:ascii="Arial" w:eastAsia="Times New Roman" w:hAnsi="Arial" w:cs="Arial"/>
            <w:color w:val="0000FF"/>
            <w:sz w:val="26"/>
            <w:szCs w:val="26"/>
            <w:u w:val="single"/>
          </w:rPr>
          <w:t>khoản 2 Điều 5</w:t>
        </w:r>
      </w:hyperlink>
      <w:r w:rsidRPr="00233E4D">
        <w:rPr>
          <w:rFonts w:ascii="Arial" w:eastAsia="Times New Roman" w:hAnsi="Arial" w:cs="Arial"/>
          <w:color w:val="2E2E2E"/>
          <w:sz w:val="26"/>
          <w:szCs w:val="26"/>
        </w:rPr>
        <w:t> như sau</w:t>
      </w:r>
      <w:proofErr w:type="gramStart"/>
      <w:r w:rsidRPr="00233E4D">
        <w:rPr>
          <w:rFonts w:ascii="Arial" w:eastAsia="Times New Roman" w:hAnsi="Arial" w:cs="Arial"/>
          <w:color w:val="2E2E2E"/>
          <w:sz w:val="26"/>
          <w:szCs w:val="26"/>
        </w:rPr>
        <w:t>:</w:t>
      </w:r>
      <w:proofErr w:type="gramEnd"/>
      <w:r w:rsidRPr="00233E4D">
        <w:rPr>
          <w:rFonts w:ascii="Arial" w:eastAsia="Times New Roman" w:hAnsi="Arial" w:cs="Arial"/>
          <w:color w:val="2E2E2E"/>
          <w:sz w:val="26"/>
          <w:szCs w:val="26"/>
        </w:rPr>
        <w:br/>
        <w:t>“2. Thanh toán khoán kinh phí sử dụng ô tô khi đi công tác, khoản tiền tự túc phương tiện đi công tác:</w:t>
      </w:r>
      <w:r w:rsidRPr="00233E4D">
        <w:rPr>
          <w:rFonts w:ascii="Arial" w:eastAsia="Times New Roman" w:hAnsi="Arial" w:cs="Arial"/>
          <w:color w:val="2E2E2E"/>
          <w:sz w:val="26"/>
          <w:szCs w:val="26"/>
        </w:rPr>
        <w:br/>
        <w:t>a) Đối với các đối tượng được sử dụng xe ô tô để đi công tác: Thực hiện theo quy định tại Nghị định số </w:t>
      </w:r>
      <w:r w:rsidRPr="00233E4D">
        <w:rPr>
          <w:rFonts w:ascii="Arial" w:eastAsia="Times New Roman" w:hAnsi="Arial" w:cs="Arial"/>
          <w:color w:val="A67C52"/>
          <w:sz w:val="26"/>
          <w:szCs w:val="26"/>
        </w:rPr>
        <w:t>72/2023/NĐ-CP</w:t>
      </w:r>
      <w:r w:rsidRPr="00233E4D">
        <w:rPr>
          <w:rFonts w:ascii="Arial" w:eastAsia="Times New Roman" w:hAnsi="Arial" w:cs="Arial"/>
          <w:color w:val="2E2E2E"/>
          <w:sz w:val="26"/>
          <w:szCs w:val="26"/>
        </w:rPr>
        <w:t> ngày 26 tháng 9 năm 2023 của Chính phủ quy định tiêu chuẩn, định mức sử dụng xe ô tô.</w:t>
      </w:r>
      <w:r w:rsidRPr="00233E4D">
        <w:rPr>
          <w:rFonts w:ascii="Arial" w:eastAsia="Times New Roman" w:hAnsi="Arial" w:cs="Arial"/>
          <w:color w:val="2E2E2E"/>
          <w:sz w:val="26"/>
          <w:szCs w:val="26"/>
        </w:rPr>
        <w:br/>
        <w:t>b) Đối với cán bộ, công chức, viên chức, người lao động còn lại không có tiêu chuẩn được bố trí xe ô tô khi đi công tác mà tự túc bằng phương tiện cá nhân của mình thì được thanh toán khoản tiền tự túc phương tiện bảo đảm không vượt chế độ đối với các đối tượng quy định tại điểm a khoản 2 Điều 5 Thông tư này và phải được quy định trong quy chế chi tiêu nội bộ của đơn vị”.</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3. Sửa đổi, bổ sung </w:t>
      </w:r>
      <w:hyperlink r:id="rId6" w:history="1">
        <w:r w:rsidRPr="00233E4D">
          <w:rPr>
            <w:rFonts w:ascii="Arial" w:eastAsia="Times New Roman" w:hAnsi="Arial" w:cs="Arial"/>
            <w:color w:val="0000FF"/>
            <w:sz w:val="26"/>
            <w:szCs w:val="26"/>
            <w:u w:val="single"/>
          </w:rPr>
          <w:t>Điều 6</w:t>
        </w:r>
      </w:hyperlink>
      <w:r w:rsidRPr="00233E4D">
        <w:rPr>
          <w:rFonts w:ascii="Arial" w:eastAsia="Times New Roman" w:hAnsi="Arial" w:cs="Arial"/>
          <w:color w:val="2E2E2E"/>
          <w:sz w:val="26"/>
          <w:szCs w:val="26"/>
        </w:rPr>
        <w:t> như sau</w:t>
      </w:r>
      <w:proofErr w:type="gramStart"/>
      <w:r w:rsidRPr="00233E4D">
        <w:rPr>
          <w:rFonts w:ascii="Arial" w:eastAsia="Times New Roman" w:hAnsi="Arial" w:cs="Arial"/>
          <w:color w:val="2E2E2E"/>
          <w:sz w:val="26"/>
          <w:szCs w:val="26"/>
        </w:rPr>
        <w:t>:</w:t>
      </w:r>
      <w:proofErr w:type="gramEnd"/>
      <w:r w:rsidRPr="00233E4D">
        <w:rPr>
          <w:rFonts w:ascii="Arial" w:eastAsia="Times New Roman" w:hAnsi="Arial" w:cs="Arial"/>
          <w:color w:val="2E2E2E"/>
          <w:sz w:val="26"/>
          <w:szCs w:val="26"/>
        </w:rPr>
        <w:br/>
        <w:t>“Điều 6. Phụ cấp lưu trú</w:t>
      </w:r>
      <w:r w:rsidRPr="00233E4D">
        <w:rPr>
          <w:rFonts w:ascii="Arial" w:eastAsia="Times New Roman" w:hAnsi="Arial" w:cs="Arial"/>
          <w:color w:val="2E2E2E"/>
          <w:sz w:val="26"/>
          <w:szCs w:val="26"/>
        </w:rPr>
        <w:br/>
        <w:t xml:space="preserve">1. Phụ cấp lưu trú là khoản tiền hỗ trợ thêm cho người đi công tác ngoài tiền lương do cơ quan, đơn vị cử người đi công tác chi trả, được tính từ ngày bắt đầu đi công tác đến khi kết thúc đợt công tác trở về cơ quan, đơn vị (bao gồm thời gian đi trên đường, thời gian lưu trú tại nơi đến công tác). Mức phụ cấp lưu trú </w:t>
      </w:r>
      <w:r w:rsidRPr="00233E4D">
        <w:rPr>
          <w:rFonts w:ascii="Arial" w:eastAsia="Times New Roman" w:hAnsi="Arial" w:cs="Arial"/>
          <w:color w:val="2E2E2E"/>
          <w:sz w:val="26"/>
          <w:szCs w:val="26"/>
        </w:rPr>
        <w:lastRenderedPageBreak/>
        <w:t>để chi trả cho người đi công tác 300.000 đồng/ngày.</w:t>
      </w:r>
      <w:r w:rsidRPr="00233E4D">
        <w:rPr>
          <w:rFonts w:ascii="Arial" w:eastAsia="Times New Roman" w:hAnsi="Arial" w:cs="Arial"/>
          <w:color w:val="2E2E2E"/>
          <w:sz w:val="26"/>
          <w:szCs w:val="26"/>
        </w:rPr>
        <w:br/>
        <w:t>Trường hợp đi công tác trong ngày (đi và về trong ngày), thủ trưởng cơ quan, đơn vị, quyết định mức phụ cấp lưu trú theo các tiêu chí: Số giờ thực tế đi công tác trong ngày (bao gồm cả thời gian đi trên đường), quãng đường đi công tác và phải được quy định trong quy chế chi tiêu nội bộ của cơ quan, đơn vị.</w:t>
      </w:r>
      <w:r w:rsidRPr="00233E4D">
        <w:rPr>
          <w:rFonts w:ascii="Arial" w:eastAsia="Times New Roman" w:hAnsi="Arial" w:cs="Arial"/>
          <w:color w:val="2E2E2E"/>
          <w:sz w:val="26"/>
          <w:szCs w:val="26"/>
        </w:rPr>
        <w:br/>
        <w:t xml:space="preserve">2. Cán bộ, công chức, viên chức và người </w:t>
      </w:r>
      <w:proofErr w:type="gramStart"/>
      <w:r w:rsidRPr="00233E4D">
        <w:rPr>
          <w:rFonts w:ascii="Arial" w:eastAsia="Times New Roman" w:hAnsi="Arial" w:cs="Arial"/>
          <w:color w:val="2E2E2E"/>
          <w:sz w:val="26"/>
          <w:szCs w:val="26"/>
        </w:rPr>
        <w:t>lao</w:t>
      </w:r>
      <w:proofErr w:type="gramEnd"/>
      <w:r w:rsidRPr="00233E4D">
        <w:rPr>
          <w:rFonts w:ascii="Arial" w:eastAsia="Times New Roman" w:hAnsi="Arial" w:cs="Arial"/>
          <w:color w:val="2E2E2E"/>
          <w:sz w:val="26"/>
          <w:szCs w:val="26"/>
        </w:rPr>
        <w:t xml:space="preserve"> động ở đất liền được cử đi công tác làm nhiệm vụ trên biển, đảo thì được hưởng mức phụ cấp lưu trú: 400.000 đồng/người/ngày thực tế đi biển, đảo (áp dụng cho cả những ngày làm việc trên biển, đảo, những ngày đi, về trên biển, đảo). Trường hợp một số ngành đặc thù đã được cấp có thẩm quyền quy định về chế độ khi đi công tác trên biển, đảo thì được chọn chế độ quy định cao nhất (phụ cấp lưu trú hoặc chi bồi dưỡng) để chi trả cho người đi công tác”.</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4. Sửa đổi, bổ sung </w:t>
      </w:r>
      <w:hyperlink r:id="rId7" w:history="1">
        <w:r w:rsidRPr="00233E4D">
          <w:rPr>
            <w:rFonts w:ascii="Arial" w:eastAsia="Times New Roman" w:hAnsi="Arial" w:cs="Arial"/>
            <w:color w:val="0000FF"/>
            <w:sz w:val="26"/>
            <w:szCs w:val="26"/>
            <w:u w:val="single"/>
          </w:rPr>
          <w:t>khoản 2</w:t>
        </w:r>
      </w:hyperlink>
      <w:r w:rsidRPr="00233E4D">
        <w:rPr>
          <w:rFonts w:ascii="Arial" w:eastAsia="Times New Roman" w:hAnsi="Arial" w:cs="Arial"/>
          <w:color w:val="2E2E2E"/>
          <w:sz w:val="26"/>
          <w:szCs w:val="26"/>
        </w:rPr>
        <w:t>, </w:t>
      </w:r>
      <w:hyperlink r:id="rId8" w:history="1">
        <w:r w:rsidRPr="00233E4D">
          <w:rPr>
            <w:rFonts w:ascii="Arial" w:eastAsia="Times New Roman" w:hAnsi="Arial" w:cs="Arial"/>
            <w:color w:val="0000FF"/>
            <w:sz w:val="26"/>
            <w:szCs w:val="26"/>
            <w:u w:val="single"/>
          </w:rPr>
          <w:t>khoản 3 Điều 7</w:t>
        </w:r>
      </w:hyperlink>
      <w:r w:rsidRPr="00233E4D">
        <w:rPr>
          <w:rFonts w:ascii="Arial" w:eastAsia="Times New Roman" w:hAnsi="Arial" w:cs="Arial"/>
          <w:color w:val="2E2E2E"/>
          <w:sz w:val="26"/>
          <w:szCs w:val="26"/>
        </w:rPr>
        <w:t> như sau:</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“2. Thanh toán theo hình thức khoán:</w:t>
      </w:r>
      <w:r w:rsidRPr="00233E4D">
        <w:rPr>
          <w:rFonts w:ascii="Arial" w:eastAsia="Times New Roman" w:hAnsi="Arial" w:cs="Arial"/>
          <w:color w:val="2E2E2E"/>
          <w:sz w:val="26"/>
          <w:szCs w:val="26"/>
        </w:rPr>
        <w:br/>
        <w:t>a) Cán bộ lãnh đạo cấp Bộ trưởng, Thứ trưởng và các cán bộ lãnh đạo được hưởng hệ số phụ cấp chức vụ theo chức danh lãnh đạo đó từ 1,25 trở lên: 1.600.000 đồng/ngày/người, không phân biệt nơi đến công tác;</w:t>
      </w:r>
      <w:r w:rsidRPr="00233E4D">
        <w:rPr>
          <w:rFonts w:ascii="Arial" w:eastAsia="Times New Roman" w:hAnsi="Arial" w:cs="Arial"/>
          <w:color w:val="2E2E2E"/>
          <w:sz w:val="26"/>
          <w:szCs w:val="26"/>
        </w:rPr>
        <w:br/>
        <w:t>b) Cán bộ lãnh đạo được hưởng hệ số phụ cấp chức vụ theo chức danh lãnh đạo đó từ 0,8 đến 1,20:</w:t>
      </w:r>
      <w:r w:rsidRPr="00233E4D">
        <w:rPr>
          <w:rFonts w:ascii="Arial" w:eastAsia="Times New Roman" w:hAnsi="Arial" w:cs="Arial"/>
          <w:color w:val="2E2E2E"/>
          <w:sz w:val="26"/>
          <w:szCs w:val="26"/>
        </w:rPr>
        <w:br/>
        <w:t>- Đi công tác tại các thành phố trực thuộc trung ương: 800.000 đồng/ngày/người.</w:t>
      </w:r>
      <w:r w:rsidRPr="00233E4D">
        <w:rPr>
          <w:rFonts w:ascii="Arial" w:eastAsia="Times New Roman" w:hAnsi="Arial" w:cs="Arial"/>
          <w:color w:val="2E2E2E"/>
          <w:sz w:val="26"/>
          <w:szCs w:val="26"/>
        </w:rPr>
        <w:br/>
        <w:t>- Đi công tác tại các tỉnh: 600.000 đồng/ngày/người.</w:t>
      </w:r>
      <w:r w:rsidRPr="00233E4D">
        <w:rPr>
          <w:rFonts w:ascii="Arial" w:eastAsia="Times New Roman" w:hAnsi="Arial" w:cs="Arial"/>
          <w:color w:val="2E2E2E"/>
          <w:sz w:val="26"/>
          <w:szCs w:val="26"/>
        </w:rPr>
        <w:br/>
        <w:t>c) Các đối tượng cán bộ, công chức, viên chức và người lao động còn lại</w:t>
      </w:r>
      <w:proofErr w:type="gramStart"/>
      <w:r w:rsidRPr="00233E4D">
        <w:rPr>
          <w:rFonts w:ascii="Arial" w:eastAsia="Times New Roman" w:hAnsi="Arial" w:cs="Arial"/>
          <w:color w:val="2E2E2E"/>
          <w:sz w:val="26"/>
          <w:szCs w:val="26"/>
        </w:rPr>
        <w:t>:</w:t>
      </w:r>
      <w:proofErr w:type="gramEnd"/>
      <w:r w:rsidRPr="00233E4D">
        <w:rPr>
          <w:rFonts w:ascii="Arial" w:eastAsia="Times New Roman" w:hAnsi="Arial" w:cs="Arial"/>
          <w:color w:val="2E2E2E"/>
          <w:sz w:val="26"/>
          <w:szCs w:val="26"/>
        </w:rPr>
        <w:br/>
        <w:t>- Đi công tác tại các thành phố trực thuộc trung ương: 600.000 đồng/ngày/người.</w:t>
      </w:r>
      <w:r w:rsidRPr="00233E4D">
        <w:rPr>
          <w:rFonts w:ascii="Arial" w:eastAsia="Times New Roman" w:hAnsi="Arial" w:cs="Arial"/>
          <w:color w:val="2E2E2E"/>
          <w:sz w:val="26"/>
          <w:szCs w:val="26"/>
        </w:rPr>
        <w:br/>
        <w:t>- Đi công tác tại các tỉnh: 500.000 đồng/ngày/người.</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3. Thanh toán theo hoá đơn thực tế:</w:t>
      </w:r>
      <w:r w:rsidRPr="00233E4D">
        <w:rPr>
          <w:rFonts w:ascii="Arial" w:eastAsia="Times New Roman" w:hAnsi="Arial" w:cs="Arial"/>
          <w:color w:val="2E2E2E"/>
          <w:sz w:val="26"/>
          <w:szCs w:val="26"/>
        </w:rPr>
        <w:br/>
        <w:t>Trong trường hợp người đi công tác không nhận thanh toán theo hình thức khoán tại khoản 2 Điều này thì được thanh toán theo giá thuê phòng thực tế (có hoá đơn, chứng từ hợp pháp theo quy định của pháp luật) do thủ trưởng cơ quan, đơn vị duyệt theo tiêu chuẩn thuê phòng như sau:</w:t>
      </w:r>
      <w:r w:rsidRPr="00233E4D">
        <w:rPr>
          <w:rFonts w:ascii="Arial" w:eastAsia="Times New Roman" w:hAnsi="Arial" w:cs="Arial"/>
          <w:color w:val="2E2E2E"/>
          <w:sz w:val="26"/>
          <w:szCs w:val="26"/>
        </w:rPr>
        <w:br/>
        <w:t>a) Cán bộ lãnh đạo cấp Bộ trưởng: 4.000.000 đồng/ngày/phòng theo tiêu chuẩn một người/một phòng, không phân biệt nơi đến công tác;</w:t>
      </w:r>
      <w:r w:rsidRPr="00233E4D">
        <w:rPr>
          <w:rFonts w:ascii="Arial" w:eastAsia="Times New Roman" w:hAnsi="Arial" w:cs="Arial"/>
          <w:color w:val="2E2E2E"/>
          <w:sz w:val="26"/>
          <w:szCs w:val="26"/>
        </w:rPr>
        <w:br/>
        <w:t>b) Cán bộ lãnh đạo cấp Thứ trưởng và các cán bộ lãnh đạo được hưởng hệ số phụ cấp chức vụ theo chức danh lãnh đạo đó từ 1,25 đến 1,30:</w:t>
      </w:r>
      <w:r w:rsidRPr="00233E4D">
        <w:rPr>
          <w:rFonts w:ascii="Arial" w:eastAsia="Times New Roman" w:hAnsi="Arial" w:cs="Arial"/>
          <w:color w:val="2E2E2E"/>
          <w:sz w:val="26"/>
          <w:szCs w:val="26"/>
        </w:rPr>
        <w:br/>
        <w:t>- Đi công tác tại các thành phố trực thuộc trung ương: 2.000.000 đồng/ngày/phòng theo tiêu chuẩn một người/một phòng.</w:t>
      </w:r>
      <w:r w:rsidRPr="00233E4D">
        <w:rPr>
          <w:rFonts w:ascii="Arial" w:eastAsia="Times New Roman" w:hAnsi="Arial" w:cs="Arial"/>
          <w:color w:val="2E2E2E"/>
          <w:sz w:val="26"/>
          <w:szCs w:val="26"/>
        </w:rPr>
        <w:br/>
        <w:t xml:space="preserve">- Đi công tác tại các tỉnh: 1.800.000 đồng/ngày/phòng </w:t>
      </w:r>
      <w:proofErr w:type="gramStart"/>
      <w:r w:rsidRPr="00233E4D">
        <w:rPr>
          <w:rFonts w:ascii="Arial" w:eastAsia="Times New Roman" w:hAnsi="Arial" w:cs="Arial"/>
          <w:color w:val="2E2E2E"/>
          <w:sz w:val="26"/>
          <w:szCs w:val="26"/>
        </w:rPr>
        <w:t>theo</w:t>
      </w:r>
      <w:proofErr w:type="gramEnd"/>
      <w:r w:rsidRPr="00233E4D">
        <w:rPr>
          <w:rFonts w:ascii="Arial" w:eastAsia="Times New Roman" w:hAnsi="Arial" w:cs="Arial"/>
          <w:color w:val="2E2E2E"/>
          <w:sz w:val="26"/>
          <w:szCs w:val="26"/>
        </w:rPr>
        <w:t xml:space="preserve"> tiêu chuẩn một người/một phòng.</w:t>
      </w:r>
      <w:r w:rsidRPr="00233E4D">
        <w:rPr>
          <w:rFonts w:ascii="Arial" w:eastAsia="Times New Roman" w:hAnsi="Arial" w:cs="Arial"/>
          <w:color w:val="2E2E2E"/>
          <w:sz w:val="26"/>
          <w:szCs w:val="26"/>
        </w:rPr>
        <w:br/>
        <w:t>c) Cán bộ lãnh đạo được hưởng hệ số phụ cấp chức vụ theo chức danh lãnh đạo đó từ 0</w:t>
      </w:r>
      <w:proofErr w:type="gramStart"/>
      <w:r w:rsidRPr="00233E4D">
        <w:rPr>
          <w:rFonts w:ascii="Arial" w:eastAsia="Times New Roman" w:hAnsi="Arial" w:cs="Arial"/>
          <w:color w:val="2E2E2E"/>
          <w:sz w:val="26"/>
          <w:szCs w:val="26"/>
        </w:rPr>
        <w:t>,8</w:t>
      </w:r>
      <w:proofErr w:type="gramEnd"/>
      <w:r w:rsidRPr="00233E4D">
        <w:rPr>
          <w:rFonts w:ascii="Arial" w:eastAsia="Times New Roman" w:hAnsi="Arial" w:cs="Arial"/>
          <w:color w:val="2E2E2E"/>
          <w:sz w:val="26"/>
          <w:szCs w:val="26"/>
        </w:rPr>
        <w:t xml:space="preserve"> đến 1,20:</w:t>
      </w:r>
      <w:r w:rsidRPr="00233E4D">
        <w:rPr>
          <w:rFonts w:ascii="Arial" w:eastAsia="Times New Roman" w:hAnsi="Arial" w:cs="Arial"/>
          <w:color w:val="2E2E2E"/>
          <w:sz w:val="26"/>
          <w:szCs w:val="26"/>
        </w:rPr>
        <w:br/>
        <w:t>- Đi công tác tại các thành phố trực thuộc trung ương: 1.200.000 đồng/ngày/phòng theo tiêu chuẩn một người/một phòng.</w:t>
      </w:r>
      <w:r w:rsidRPr="00233E4D">
        <w:rPr>
          <w:rFonts w:ascii="Arial" w:eastAsia="Times New Roman" w:hAnsi="Arial" w:cs="Arial"/>
          <w:color w:val="2E2E2E"/>
          <w:sz w:val="26"/>
          <w:szCs w:val="26"/>
        </w:rPr>
        <w:br/>
        <w:t xml:space="preserve">- Đi công tác tại các tỉnh: 800.000 đồng/ngày/phòng </w:t>
      </w:r>
      <w:proofErr w:type="gramStart"/>
      <w:r w:rsidRPr="00233E4D">
        <w:rPr>
          <w:rFonts w:ascii="Arial" w:eastAsia="Times New Roman" w:hAnsi="Arial" w:cs="Arial"/>
          <w:color w:val="2E2E2E"/>
          <w:sz w:val="26"/>
          <w:szCs w:val="26"/>
        </w:rPr>
        <w:t>theo</w:t>
      </w:r>
      <w:proofErr w:type="gramEnd"/>
      <w:r w:rsidRPr="00233E4D">
        <w:rPr>
          <w:rFonts w:ascii="Arial" w:eastAsia="Times New Roman" w:hAnsi="Arial" w:cs="Arial"/>
          <w:color w:val="2E2E2E"/>
          <w:sz w:val="26"/>
          <w:szCs w:val="26"/>
        </w:rPr>
        <w:t xml:space="preserve"> tiêu chuẩn một </w:t>
      </w:r>
      <w:r w:rsidRPr="00233E4D">
        <w:rPr>
          <w:rFonts w:ascii="Arial" w:eastAsia="Times New Roman" w:hAnsi="Arial" w:cs="Arial"/>
          <w:color w:val="2E2E2E"/>
          <w:sz w:val="26"/>
          <w:szCs w:val="26"/>
        </w:rPr>
        <w:lastRenderedPageBreak/>
        <w:t>người/một phòng.</w:t>
      </w:r>
      <w:r w:rsidRPr="00233E4D">
        <w:rPr>
          <w:rFonts w:ascii="Arial" w:eastAsia="Times New Roman" w:hAnsi="Arial" w:cs="Arial"/>
          <w:color w:val="2E2E2E"/>
          <w:sz w:val="26"/>
          <w:szCs w:val="26"/>
        </w:rPr>
        <w:br/>
        <w:t>d) Các đối tượng cán bộ, công chức, viên chức và người lao động còn lại</w:t>
      </w:r>
      <w:proofErr w:type="gramStart"/>
      <w:r w:rsidRPr="00233E4D">
        <w:rPr>
          <w:rFonts w:ascii="Arial" w:eastAsia="Times New Roman" w:hAnsi="Arial" w:cs="Arial"/>
          <w:color w:val="2E2E2E"/>
          <w:sz w:val="26"/>
          <w:szCs w:val="26"/>
        </w:rPr>
        <w:t>:</w:t>
      </w:r>
      <w:proofErr w:type="gramEnd"/>
      <w:r w:rsidRPr="00233E4D">
        <w:rPr>
          <w:rFonts w:ascii="Arial" w:eastAsia="Times New Roman" w:hAnsi="Arial" w:cs="Arial"/>
          <w:color w:val="2E2E2E"/>
          <w:sz w:val="26"/>
          <w:szCs w:val="26"/>
        </w:rPr>
        <w:br/>
        <w:t>- Đi công tác tại các thành phố trực thuộc trung ương: 1.400.000 đồng/ngày/phòng theo tiêu chuẩn hai người/một phòng.</w:t>
      </w:r>
      <w:r w:rsidRPr="00233E4D">
        <w:rPr>
          <w:rFonts w:ascii="Arial" w:eastAsia="Times New Roman" w:hAnsi="Arial" w:cs="Arial"/>
          <w:color w:val="2E2E2E"/>
          <w:sz w:val="26"/>
          <w:szCs w:val="26"/>
        </w:rPr>
        <w:br/>
        <w:t xml:space="preserve">- Đi công tác tại các tỉnh: 1.100.000 đồng/ngày/phòng </w:t>
      </w:r>
      <w:proofErr w:type="gramStart"/>
      <w:r w:rsidRPr="00233E4D">
        <w:rPr>
          <w:rFonts w:ascii="Arial" w:eastAsia="Times New Roman" w:hAnsi="Arial" w:cs="Arial"/>
          <w:color w:val="2E2E2E"/>
          <w:sz w:val="26"/>
          <w:szCs w:val="26"/>
        </w:rPr>
        <w:t>theo</w:t>
      </w:r>
      <w:proofErr w:type="gramEnd"/>
      <w:r w:rsidRPr="00233E4D">
        <w:rPr>
          <w:rFonts w:ascii="Arial" w:eastAsia="Times New Roman" w:hAnsi="Arial" w:cs="Arial"/>
          <w:color w:val="2E2E2E"/>
          <w:sz w:val="26"/>
          <w:szCs w:val="26"/>
        </w:rPr>
        <w:t xml:space="preserve"> tiêu chuẩn hai người/một phòng”.</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5. Sửa đổi, bổ sung </w:t>
      </w:r>
      <w:hyperlink r:id="rId9" w:history="1">
        <w:r w:rsidRPr="00233E4D">
          <w:rPr>
            <w:rFonts w:ascii="Arial" w:eastAsia="Times New Roman" w:hAnsi="Arial" w:cs="Arial"/>
            <w:color w:val="0000FF"/>
            <w:sz w:val="26"/>
            <w:szCs w:val="26"/>
            <w:u w:val="single"/>
          </w:rPr>
          <w:t>khoản 1 Điều 8</w:t>
        </w:r>
      </w:hyperlink>
      <w:r w:rsidRPr="00233E4D">
        <w:rPr>
          <w:rFonts w:ascii="Arial" w:eastAsia="Times New Roman" w:hAnsi="Arial" w:cs="Arial"/>
          <w:color w:val="2E2E2E"/>
          <w:sz w:val="26"/>
          <w:szCs w:val="26"/>
        </w:rPr>
        <w:t> như sau:</w:t>
      </w:r>
      <w:r w:rsidRPr="00233E4D">
        <w:rPr>
          <w:rFonts w:ascii="Arial" w:eastAsia="Times New Roman" w:hAnsi="Arial" w:cs="Arial"/>
          <w:color w:val="2E2E2E"/>
          <w:sz w:val="26"/>
          <w:szCs w:val="26"/>
        </w:rPr>
        <w:br/>
        <w:t>“1. Đối với cán bộ cấp xã thường xuyên phải đi công tác lưu động trên 10 ngày/tháng; cán bộ, công chức, viên chức, người lao động thuộc các cơ quan, đơn vị còn lại phải thường xuyên đi công tác lưu động trên 10 ngày/tháng thì được thanh toán khoản tiền hỗ trợ tiền gửi xe, xăng xe theo mức tối đa 700.000 đồng/người/tháng và phải được quy định trong quy chế chi tiêu nội bộ của đơn vị”.</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6. Sửa đổi </w:t>
      </w:r>
      <w:hyperlink r:id="rId10" w:history="1">
        <w:r w:rsidRPr="00233E4D">
          <w:rPr>
            <w:rFonts w:ascii="Arial" w:eastAsia="Times New Roman" w:hAnsi="Arial" w:cs="Arial"/>
            <w:color w:val="0000FF"/>
            <w:sz w:val="26"/>
            <w:szCs w:val="26"/>
            <w:u w:val="single"/>
          </w:rPr>
          <w:t>khoản 1 Điều 12</w:t>
        </w:r>
      </w:hyperlink>
      <w:r w:rsidRPr="00233E4D">
        <w:rPr>
          <w:rFonts w:ascii="Arial" w:eastAsia="Times New Roman" w:hAnsi="Arial" w:cs="Arial"/>
          <w:color w:val="2E2E2E"/>
          <w:sz w:val="26"/>
          <w:szCs w:val="26"/>
        </w:rPr>
        <w:t> như sau:</w:t>
      </w:r>
      <w:r w:rsidRPr="00233E4D">
        <w:rPr>
          <w:rFonts w:ascii="Arial" w:eastAsia="Times New Roman" w:hAnsi="Arial" w:cs="Arial"/>
          <w:color w:val="2E2E2E"/>
          <w:sz w:val="26"/>
          <w:szCs w:val="26"/>
        </w:rPr>
        <w:br/>
        <w:t>“1. Chi thù lao cho giảng viên, báo cáo viên; chi cho người có báo cáo tham luận trình bày tại hội nghị: Thực hiện theo mức chi thù lao quy định đổi với giảng viên, báo cáo viên tại Thông tư số </w:t>
      </w:r>
      <w:r w:rsidRPr="00233E4D">
        <w:rPr>
          <w:rFonts w:ascii="Arial" w:eastAsia="Times New Roman" w:hAnsi="Arial" w:cs="Arial"/>
          <w:color w:val="A67C52"/>
          <w:sz w:val="26"/>
          <w:szCs w:val="26"/>
        </w:rPr>
        <w:t>36/2018/TT-BTC</w:t>
      </w:r>
      <w:r w:rsidRPr="00233E4D">
        <w:rPr>
          <w:rFonts w:ascii="Arial" w:eastAsia="Times New Roman" w:hAnsi="Arial" w:cs="Arial"/>
          <w:color w:val="2E2E2E"/>
          <w:sz w:val="26"/>
          <w:szCs w:val="26"/>
        </w:rPr>
        <w:t> ngày 30 tháng 3 năm 2018 của Bộ trưởng Bộ Tài chính hướng dẫn việc lập dự toán, quản lý, sử dụng và quyết toán kinh phí dành cho công tác đào tạo, bồi dưỡng cán bộ, công chức, viên chức; Thông tư số </w:t>
      </w:r>
      <w:r w:rsidRPr="00233E4D">
        <w:rPr>
          <w:rFonts w:ascii="Arial" w:eastAsia="Times New Roman" w:hAnsi="Arial" w:cs="Arial"/>
          <w:color w:val="A67C52"/>
          <w:sz w:val="26"/>
          <w:szCs w:val="26"/>
        </w:rPr>
        <w:t>06/2023/TT-BTC</w:t>
      </w:r>
      <w:r w:rsidRPr="00233E4D">
        <w:rPr>
          <w:rFonts w:ascii="Arial" w:eastAsia="Times New Roman" w:hAnsi="Arial" w:cs="Arial"/>
          <w:color w:val="2E2E2E"/>
          <w:sz w:val="26"/>
          <w:szCs w:val="26"/>
        </w:rPr>
        <w:t> ngày 31 tháng 01 năm 2023 của Bộ trưởng Bộ Tài chính sửa đổi, bổ sung một số điều của Thông tư số </w:t>
      </w:r>
      <w:r w:rsidRPr="00233E4D">
        <w:rPr>
          <w:rFonts w:ascii="Arial" w:eastAsia="Times New Roman" w:hAnsi="Arial" w:cs="Arial"/>
          <w:color w:val="A67C52"/>
          <w:sz w:val="26"/>
          <w:szCs w:val="26"/>
        </w:rPr>
        <w:t>36/2018/TT-BTC</w:t>
      </w:r>
      <w:r w:rsidRPr="00233E4D">
        <w:rPr>
          <w:rFonts w:ascii="Arial" w:eastAsia="Times New Roman" w:hAnsi="Arial" w:cs="Arial"/>
          <w:color w:val="2E2E2E"/>
          <w:sz w:val="26"/>
          <w:szCs w:val="26"/>
        </w:rPr>
        <w:t> ngày 30 tháng 3 năm 2018 của Bộ trưởng Bộ Tài chính”.</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7. Sửa đổi, bổ sung </w:t>
      </w:r>
      <w:hyperlink r:id="rId11" w:history="1">
        <w:r w:rsidRPr="00233E4D">
          <w:rPr>
            <w:rFonts w:ascii="Arial" w:eastAsia="Times New Roman" w:hAnsi="Arial" w:cs="Arial"/>
            <w:color w:val="0000FF"/>
            <w:sz w:val="26"/>
            <w:szCs w:val="26"/>
            <w:u w:val="single"/>
          </w:rPr>
          <w:t>khoản 3</w:t>
        </w:r>
      </w:hyperlink>
      <w:r w:rsidRPr="00233E4D">
        <w:rPr>
          <w:rFonts w:ascii="Arial" w:eastAsia="Times New Roman" w:hAnsi="Arial" w:cs="Arial"/>
          <w:color w:val="2E2E2E"/>
          <w:sz w:val="26"/>
          <w:szCs w:val="26"/>
        </w:rPr>
        <w:t>, </w:t>
      </w:r>
      <w:hyperlink r:id="rId12" w:history="1">
        <w:r w:rsidRPr="00233E4D">
          <w:rPr>
            <w:rFonts w:ascii="Arial" w:eastAsia="Times New Roman" w:hAnsi="Arial" w:cs="Arial"/>
            <w:color w:val="0000FF"/>
            <w:sz w:val="26"/>
            <w:szCs w:val="26"/>
            <w:u w:val="single"/>
          </w:rPr>
          <w:t>khoản 4 Điều 12</w:t>
        </w:r>
      </w:hyperlink>
      <w:r w:rsidRPr="00233E4D">
        <w:rPr>
          <w:rFonts w:ascii="Arial" w:eastAsia="Times New Roman" w:hAnsi="Arial" w:cs="Arial"/>
          <w:color w:val="2E2E2E"/>
          <w:sz w:val="26"/>
          <w:szCs w:val="26"/>
        </w:rPr>
        <w:t> như sau:</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“3. Chi giải khát giữa giờ: 50.000 đồng/một buổi (nửa ngày)/đại biểu.</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4. Chi hỗ trợ tiền ăn cho đại biểu là khách mời không trong danh sách trả lương của cơ quan nhà nước, đơn vị sự nghiệp công lập và doanh nghiệp theo mức khoán như sau:</w:t>
      </w:r>
      <w:r w:rsidRPr="00233E4D">
        <w:rPr>
          <w:rFonts w:ascii="Arial" w:eastAsia="Times New Roman" w:hAnsi="Arial" w:cs="Arial"/>
          <w:color w:val="2E2E2E"/>
          <w:sz w:val="26"/>
          <w:szCs w:val="26"/>
        </w:rPr>
        <w:br/>
        <w:t>a) Cuộc họp tổ chức tại các thành phố trực thuộc trung ương: 300.000 đồng/ngày/người;</w:t>
      </w:r>
      <w:r w:rsidRPr="00233E4D">
        <w:rPr>
          <w:rFonts w:ascii="Arial" w:eastAsia="Times New Roman" w:hAnsi="Arial" w:cs="Arial"/>
          <w:color w:val="2E2E2E"/>
          <w:sz w:val="26"/>
          <w:szCs w:val="26"/>
        </w:rPr>
        <w:br/>
        <w:t>b) Cuộc họp tổ chức tại các tỉnh: 200.000 đồng/ngày/người;</w:t>
      </w:r>
      <w:r w:rsidRPr="00233E4D">
        <w:rPr>
          <w:rFonts w:ascii="Arial" w:eastAsia="Times New Roman" w:hAnsi="Arial" w:cs="Arial"/>
          <w:color w:val="2E2E2E"/>
          <w:sz w:val="26"/>
          <w:szCs w:val="26"/>
        </w:rPr>
        <w:br/>
        <w:t>c) Riêng cuộc họp do xã, phường, thị trấn tổ chức (không phân biệt địa điểm tổ chức): 150.000 đồng/ngày/người”.</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b/>
          <w:bCs/>
          <w:color w:val="2E2E2E"/>
          <w:sz w:val="26"/>
          <w:szCs w:val="26"/>
        </w:rPr>
        <w:t>Điều 2. Bãi bỏ, thay đổi từ ngữ liên quan đến một số điều của Thông tư số </w:t>
      </w:r>
      <w:r w:rsidRPr="00233E4D">
        <w:rPr>
          <w:rFonts w:ascii="Arial" w:eastAsia="Times New Roman" w:hAnsi="Arial" w:cs="Arial"/>
          <w:b/>
          <w:bCs/>
          <w:color w:val="A67C52"/>
          <w:sz w:val="26"/>
          <w:szCs w:val="26"/>
        </w:rPr>
        <w:t>40/2017/TT-BTC</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 xml:space="preserve">1. Bãi bỏ cụm từ “Riêng chứng từ thanh toán vé máy bay ngoài cuống vé (hoặc vỏ điện tử) phải kèm </w:t>
      </w:r>
      <w:proofErr w:type="gramStart"/>
      <w:r w:rsidRPr="00233E4D">
        <w:rPr>
          <w:rFonts w:ascii="Arial" w:eastAsia="Times New Roman" w:hAnsi="Arial" w:cs="Arial"/>
          <w:color w:val="2E2E2E"/>
          <w:sz w:val="26"/>
          <w:szCs w:val="26"/>
        </w:rPr>
        <w:t>theo</w:t>
      </w:r>
      <w:proofErr w:type="gramEnd"/>
      <w:r w:rsidRPr="00233E4D">
        <w:rPr>
          <w:rFonts w:ascii="Arial" w:eastAsia="Times New Roman" w:hAnsi="Arial" w:cs="Arial"/>
          <w:color w:val="2E2E2E"/>
          <w:sz w:val="26"/>
          <w:szCs w:val="26"/>
        </w:rPr>
        <w:t xml:space="preserve"> thẻ lên máy bay theo quy định của pháp luật. Trường hợp mất thẻ lên máy bay thì phải có xác nhận của cơ quan, đơn vị cử đi công tác (áp dụng khi thanh toán chi phí đi lại </w:t>
      </w:r>
      <w:proofErr w:type="gramStart"/>
      <w:r w:rsidRPr="00233E4D">
        <w:rPr>
          <w:rFonts w:ascii="Arial" w:eastAsia="Times New Roman" w:hAnsi="Arial" w:cs="Arial"/>
          <w:color w:val="2E2E2E"/>
          <w:sz w:val="26"/>
          <w:szCs w:val="26"/>
        </w:rPr>
        <w:t>theo</w:t>
      </w:r>
      <w:proofErr w:type="gramEnd"/>
      <w:r w:rsidRPr="00233E4D">
        <w:rPr>
          <w:rFonts w:ascii="Arial" w:eastAsia="Times New Roman" w:hAnsi="Arial" w:cs="Arial"/>
          <w:color w:val="2E2E2E"/>
          <w:sz w:val="26"/>
          <w:szCs w:val="26"/>
        </w:rPr>
        <w:t xml:space="preserve"> thực tế)” tại </w:t>
      </w:r>
      <w:hyperlink r:id="rId13" w:history="1">
        <w:r w:rsidRPr="00233E4D">
          <w:rPr>
            <w:rFonts w:ascii="Arial" w:eastAsia="Times New Roman" w:hAnsi="Arial" w:cs="Arial"/>
            <w:color w:val="0000FF"/>
            <w:sz w:val="26"/>
            <w:szCs w:val="26"/>
            <w:u w:val="single"/>
          </w:rPr>
          <w:t>khoản 3 Điều 10</w:t>
        </w:r>
      </w:hyperlink>
      <w:r w:rsidRPr="00233E4D">
        <w:rPr>
          <w:rFonts w:ascii="Arial" w:eastAsia="Times New Roman" w:hAnsi="Arial" w:cs="Arial"/>
          <w:color w:val="2E2E2E"/>
          <w:sz w:val="26"/>
          <w:szCs w:val="26"/>
        </w:rPr>
        <w:t>.</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2. Bãi bỏ cụm từ “chi làm thêm giờ” tại </w:t>
      </w:r>
      <w:hyperlink r:id="rId14" w:history="1">
        <w:r w:rsidRPr="00233E4D">
          <w:rPr>
            <w:rFonts w:ascii="Arial" w:eastAsia="Times New Roman" w:hAnsi="Arial" w:cs="Arial"/>
            <w:color w:val="0000FF"/>
            <w:sz w:val="26"/>
            <w:szCs w:val="26"/>
            <w:u w:val="single"/>
          </w:rPr>
          <w:t>khoản 8 Điều 11</w:t>
        </w:r>
      </w:hyperlink>
      <w:r w:rsidRPr="00233E4D">
        <w:rPr>
          <w:rFonts w:ascii="Arial" w:eastAsia="Times New Roman" w:hAnsi="Arial" w:cs="Arial"/>
          <w:color w:val="2E2E2E"/>
          <w:sz w:val="26"/>
          <w:szCs w:val="26"/>
        </w:rPr>
        <w:t>.</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lastRenderedPageBreak/>
        <w:t>3. Bãi bỏ một số điều, khoản của Thông tư số </w:t>
      </w:r>
      <w:r w:rsidRPr="00233E4D">
        <w:rPr>
          <w:rFonts w:ascii="Arial" w:eastAsia="Times New Roman" w:hAnsi="Arial" w:cs="Arial"/>
          <w:color w:val="A67C52"/>
          <w:sz w:val="26"/>
          <w:szCs w:val="26"/>
        </w:rPr>
        <w:t>40/2017/TT-BTC</w:t>
      </w:r>
      <w:r w:rsidRPr="00233E4D">
        <w:rPr>
          <w:rFonts w:ascii="Arial" w:eastAsia="Times New Roman" w:hAnsi="Arial" w:cs="Arial"/>
          <w:color w:val="2E2E2E"/>
          <w:sz w:val="26"/>
          <w:szCs w:val="26"/>
        </w:rPr>
        <w:t> như sau:</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a) </w:t>
      </w:r>
      <w:hyperlink r:id="rId15" w:history="1">
        <w:r w:rsidRPr="00233E4D">
          <w:rPr>
            <w:rFonts w:ascii="Arial" w:eastAsia="Times New Roman" w:hAnsi="Arial" w:cs="Arial"/>
            <w:color w:val="0000FF"/>
            <w:sz w:val="26"/>
            <w:szCs w:val="26"/>
            <w:u w:val="single"/>
          </w:rPr>
          <w:t>Khoản 7 Điều 3</w:t>
        </w:r>
      </w:hyperlink>
      <w:r w:rsidRPr="00233E4D">
        <w:rPr>
          <w:rFonts w:ascii="Arial" w:eastAsia="Times New Roman" w:hAnsi="Arial" w:cs="Arial"/>
          <w:color w:val="2E2E2E"/>
          <w:sz w:val="26"/>
          <w:szCs w:val="26"/>
        </w:rPr>
        <w:t>.</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b) </w:t>
      </w:r>
      <w:hyperlink r:id="rId16" w:history="1">
        <w:r w:rsidRPr="00233E4D">
          <w:rPr>
            <w:rFonts w:ascii="Arial" w:eastAsia="Times New Roman" w:hAnsi="Arial" w:cs="Arial"/>
            <w:color w:val="0000FF"/>
            <w:sz w:val="26"/>
            <w:szCs w:val="26"/>
            <w:u w:val="single"/>
          </w:rPr>
          <w:t>Điều 15</w:t>
        </w:r>
      </w:hyperlink>
      <w:r w:rsidRPr="00233E4D">
        <w:rPr>
          <w:rFonts w:ascii="Arial" w:eastAsia="Times New Roman" w:hAnsi="Arial" w:cs="Arial"/>
          <w:color w:val="2E2E2E"/>
          <w:sz w:val="26"/>
          <w:szCs w:val="26"/>
        </w:rPr>
        <w:t>.</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b/>
          <w:bCs/>
          <w:color w:val="2E2E2E"/>
          <w:sz w:val="26"/>
          <w:szCs w:val="26"/>
        </w:rPr>
        <w:t>Điều 3. Điều khoản thi hành</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1. Thông tư này có hiệu lực thi hành từ ngày 04 tháng 5 năm 2025.</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2. Đối với kinh phí thực hiện chế độ công tác phí, chế độ chi hội nghị năm 2025, các Bộ, cơ quan ở trung ương, các địa phương bố trí, sắp xếp trong phạm vi dự toán chi ngân sách nhà nước năm 2025 đã được cấp có thẩm quyền giao để thực hiện.</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3. Khi các văn bản quy định về chế độ, định mức chi dẫn chiếu để áp dụng lại Thông tư này được sửa đổi, bổ sung hoặc thay thế bằng văn bản mới thì áp dụng theo các văn sửa đổi, bổ sung hoặc thay thế.</w:t>
      </w:r>
    </w:p>
    <w:p w:rsidR="00233E4D" w:rsidRPr="00233E4D" w:rsidRDefault="00233E4D" w:rsidP="00233E4D">
      <w:pPr>
        <w:spacing w:after="120" w:line="240" w:lineRule="auto"/>
        <w:rPr>
          <w:rFonts w:ascii="Arial" w:eastAsia="Times New Roman" w:hAnsi="Arial" w:cs="Arial"/>
          <w:color w:val="2E2E2E"/>
          <w:sz w:val="26"/>
          <w:szCs w:val="26"/>
        </w:rPr>
      </w:pPr>
      <w:r w:rsidRPr="00233E4D">
        <w:rPr>
          <w:rFonts w:ascii="Arial" w:eastAsia="Times New Roman" w:hAnsi="Arial" w:cs="Arial"/>
          <w:color w:val="2E2E2E"/>
          <w:sz w:val="26"/>
          <w:szCs w:val="26"/>
        </w:rPr>
        <w:t>4. Trong quá trình thực hiện nếu có vướng mắc, đề nghị phản ánh kịp thời về Bộ Tài chính để nghiên cứu giải quyết</w:t>
      </w:r>
      <w:proofErr w:type="gramStart"/>
      <w:r w:rsidRPr="00233E4D">
        <w:rPr>
          <w:rFonts w:ascii="Arial" w:eastAsia="Times New Roman" w:hAnsi="Arial" w:cs="Arial"/>
          <w:color w:val="2E2E2E"/>
          <w:sz w:val="26"/>
          <w:szCs w:val="26"/>
        </w:rPr>
        <w:t>./</w:t>
      </w:r>
      <w:proofErr w:type="gramEnd"/>
      <w:r w:rsidRPr="00233E4D">
        <w:rPr>
          <w:rFonts w:ascii="Arial" w:eastAsia="Times New Roman" w:hAnsi="Arial" w:cs="Arial"/>
          <w:color w:val="2E2E2E"/>
          <w:sz w:val="26"/>
          <w:szCs w:val="26"/>
        </w:rPr>
        <w:t>.</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233E4D" w:rsidRPr="00233E4D" w:rsidTr="00233E4D">
        <w:tc>
          <w:tcPr>
            <w:tcW w:w="2500" w:type="pct"/>
            <w:shd w:val="clear" w:color="auto" w:fill="FFFFFF"/>
            <w:hideMark/>
          </w:tcPr>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r w:rsidRPr="00233E4D">
              <w:rPr>
                <w:rFonts w:ascii="Times New Roman" w:eastAsia="Times New Roman" w:hAnsi="Times New Roman" w:cs="Times New Roman"/>
                <w:b/>
                <w:bCs/>
                <w:i/>
                <w:iCs/>
                <w:color w:val="222222"/>
                <w:sz w:val="26"/>
                <w:szCs w:val="26"/>
              </w:rPr>
              <w:t>Nơi nhận:</w:t>
            </w:r>
            <w:r w:rsidRPr="00233E4D">
              <w:rPr>
                <w:rFonts w:ascii="Times New Roman" w:eastAsia="Times New Roman" w:hAnsi="Times New Roman" w:cs="Times New Roman"/>
                <w:b/>
                <w:bCs/>
                <w:i/>
                <w:iCs/>
                <w:color w:val="222222"/>
                <w:sz w:val="26"/>
                <w:szCs w:val="26"/>
              </w:rPr>
              <w:br/>
            </w:r>
            <w:r w:rsidRPr="00233E4D">
              <w:rPr>
                <w:rFonts w:ascii="Times New Roman" w:eastAsia="Times New Roman" w:hAnsi="Times New Roman" w:cs="Times New Roman"/>
                <w:color w:val="222222"/>
                <w:sz w:val="26"/>
                <w:szCs w:val="26"/>
              </w:rPr>
              <w:t>- Ban Bí thư Trung ương Đảng;</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0" w:name="bookmark44"/>
            <w:bookmarkEnd w:id="0"/>
            <w:r w:rsidRPr="00233E4D">
              <w:rPr>
                <w:rFonts w:ascii="Times New Roman" w:eastAsia="Times New Roman" w:hAnsi="Times New Roman" w:cs="Times New Roman"/>
                <w:color w:val="222222"/>
                <w:sz w:val="26"/>
                <w:szCs w:val="26"/>
              </w:rPr>
              <w:t>- Văn phòng Tổng Bí thư;</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 w:name="bookmark45"/>
            <w:bookmarkEnd w:id="1"/>
            <w:r w:rsidRPr="00233E4D">
              <w:rPr>
                <w:rFonts w:ascii="Times New Roman" w:eastAsia="Times New Roman" w:hAnsi="Times New Roman" w:cs="Times New Roman"/>
                <w:color w:val="222222"/>
                <w:sz w:val="26"/>
                <w:szCs w:val="26"/>
              </w:rPr>
              <w:t>- Thủ tướng, các Phó Thủ tướng Chính phủ;</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2" w:name="bookmark46"/>
            <w:bookmarkEnd w:id="2"/>
            <w:r w:rsidRPr="00233E4D">
              <w:rPr>
                <w:rFonts w:ascii="Times New Roman" w:eastAsia="Times New Roman" w:hAnsi="Times New Roman" w:cs="Times New Roman"/>
                <w:color w:val="222222"/>
                <w:sz w:val="26"/>
                <w:szCs w:val="26"/>
              </w:rPr>
              <w:t>- Văn phòng Trung ương và các Ban của Đảng;</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3" w:name="bookmark47"/>
            <w:bookmarkEnd w:id="3"/>
            <w:r w:rsidRPr="00233E4D">
              <w:rPr>
                <w:rFonts w:ascii="Times New Roman" w:eastAsia="Times New Roman" w:hAnsi="Times New Roman" w:cs="Times New Roman"/>
                <w:color w:val="222222"/>
                <w:sz w:val="26"/>
                <w:szCs w:val="26"/>
              </w:rPr>
              <w:t>- Hội đồng Dân tộc và các Ủy ban của Quốc hội;</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4" w:name="bookmark48"/>
            <w:bookmarkEnd w:id="4"/>
            <w:r w:rsidRPr="00233E4D">
              <w:rPr>
                <w:rFonts w:ascii="Times New Roman" w:eastAsia="Times New Roman" w:hAnsi="Times New Roman" w:cs="Times New Roman"/>
                <w:color w:val="222222"/>
                <w:sz w:val="26"/>
                <w:szCs w:val="26"/>
              </w:rPr>
              <w:t>- Văn phòng Quốc hội;</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5" w:name="bookmark49"/>
            <w:bookmarkEnd w:id="5"/>
            <w:r w:rsidRPr="00233E4D">
              <w:rPr>
                <w:rFonts w:ascii="Times New Roman" w:eastAsia="Times New Roman" w:hAnsi="Times New Roman" w:cs="Times New Roman"/>
                <w:color w:val="222222"/>
                <w:sz w:val="26"/>
                <w:szCs w:val="26"/>
              </w:rPr>
              <w:t>- Văn phòng Chủ tịch nước;</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6" w:name="bookmark50"/>
            <w:bookmarkEnd w:id="6"/>
            <w:r w:rsidRPr="00233E4D">
              <w:rPr>
                <w:rFonts w:ascii="Times New Roman" w:eastAsia="Times New Roman" w:hAnsi="Times New Roman" w:cs="Times New Roman"/>
                <w:color w:val="222222"/>
                <w:sz w:val="26"/>
                <w:szCs w:val="26"/>
              </w:rPr>
              <w:t>- Viện Kiểm sát nhân dân tối cao;</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7" w:name="bookmark51"/>
            <w:bookmarkEnd w:id="7"/>
            <w:r w:rsidRPr="00233E4D">
              <w:rPr>
                <w:rFonts w:ascii="Times New Roman" w:eastAsia="Times New Roman" w:hAnsi="Times New Roman" w:cs="Times New Roman"/>
                <w:color w:val="222222"/>
                <w:sz w:val="26"/>
                <w:szCs w:val="26"/>
              </w:rPr>
              <w:t>- Tòa án nhân dân tối cao;</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8" w:name="bookmark52"/>
            <w:bookmarkEnd w:id="8"/>
            <w:r w:rsidRPr="00233E4D">
              <w:rPr>
                <w:rFonts w:ascii="Times New Roman" w:eastAsia="Times New Roman" w:hAnsi="Times New Roman" w:cs="Times New Roman"/>
                <w:color w:val="222222"/>
                <w:sz w:val="26"/>
                <w:szCs w:val="26"/>
              </w:rPr>
              <w:t>- Kiểm toán nhà nước;</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9" w:name="bookmark53"/>
            <w:bookmarkEnd w:id="9"/>
            <w:r w:rsidRPr="00233E4D">
              <w:rPr>
                <w:rFonts w:ascii="Times New Roman" w:eastAsia="Times New Roman" w:hAnsi="Times New Roman" w:cs="Times New Roman"/>
                <w:color w:val="222222"/>
                <w:sz w:val="26"/>
                <w:szCs w:val="26"/>
              </w:rPr>
              <w:t>- Các Bộ, cơ quan ngang bộ, cơ quan thuộc Chính phủ;</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0" w:name="bookmark54"/>
            <w:bookmarkEnd w:id="10"/>
            <w:r w:rsidRPr="00233E4D">
              <w:rPr>
                <w:rFonts w:ascii="Times New Roman" w:eastAsia="Times New Roman" w:hAnsi="Times New Roman" w:cs="Times New Roman"/>
                <w:color w:val="222222"/>
                <w:sz w:val="26"/>
                <w:szCs w:val="26"/>
              </w:rPr>
              <w:lastRenderedPageBreak/>
              <w:t>- Ủy ban Trung ương Mặt trận Tổ quốc Việt Nam;</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1" w:name="bookmark55"/>
            <w:bookmarkEnd w:id="11"/>
            <w:r w:rsidRPr="00233E4D">
              <w:rPr>
                <w:rFonts w:ascii="Times New Roman" w:eastAsia="Times New Roman" w:hAnsi="Times New Roman" w:cs="Times New Roman"/>
                <w:color w:val="222222"/>
                <w:sz w:val="26"/>
                <w:szCs w:val="26"/>
              </w:rPr>
              <w:t>- Cơ quan Trung ương của các Đoàn thể;</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2" w:name="bookmark56"/>
            <w:bookmarkEnd w:id="12"/>
            <w:r w:rsidRPr="00233E4D">
              <w:rPr>
                <w:rFonts w:ascii="Times New Roman" w:eastAsia="Times New Roman" w:hAnsi="Times New Roman" w:cs="Times New Roman"/>
                <w:color w:val="222222"/>
                <w:sz w:val="26"/>
                <w:szCs w:val="26"/>
              </w:rPr>
              <w:t>- HĐND, UBND các tỉnh, thành phố trực thuộc Trung ương;</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3" w:name="bookmark57"/>
            <w:bookmarkEnd w:id="13"/>
            <w:r w:rsidRPr="00233E4D">
              <w:rPr>
                <w:rFonts w:ascii="Times New Roman" w:eastAsia="Times New Roman" w:hAnsi="Times New Roman" w:cs="Times New Roman"/>
                <w:color w:val="222222"/>
                <w:sz w:val="26"/>
                <w:szCs w:val="26"/>
              </w:rPr>
              <w:t>- Sở TC, KBNN các tỉnh, thành phố trực thuộc Trung ương;</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4" w:name="bookmark58"/>
            <w:bookmarkEnd w:id="14"/>
            <w:r w:rsidRPr="00233E4D">
              <w:rPr>
                <w:rFonts w:ascii="Times New Roman" w:eastAsia="Times New Roman" w:hAnsi="Times New Roman" w:cs="Times New Roman"/>
                <w:color w:val="222222"/>
                <w:sz w:val="26"/>
                <w:szCs w:val="26"/>
              </w:rPr>
              <w:t>- Cục Kiểm tra văn bản quy phạm pháp luật, Bộ Tư pháp;</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5" w:name="bookmark59"/>
            <w:bookmarkEnd w:id="15"/>
            <w:r w:rsidRPr="00233E4D">
              <w:rPr>
                <w:rFonts w:ascii="Times New Roman" w:eastAsia="Times New Roman" w:hAnsi="Times New Roman" w:cs="Times New Roman"/>
                <w:color w:val="222222"/>
                <w:sz w:val="26"/>
                <w:szCs w:val="26"/>
              </w:rPr>
              <w:t>- Cổng TTĐT: Chính phủ, Bộ Tài chính;</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6" w:name="bookmark60"/>
            <w:bookmarkEnd w:id="16"/>
            <w:r w:rsidRPr="00233E4D">
              <w:rPr>
                <w:rFonts w:ascii="Times New Roman" w:eastAsia="Times New Roman" w:hAnsi="Times New Roman" w:cs="Times New Roman"/>
                <w:color w:val="222222"/>
                <w:sz w:val="26"/>
                <w:szCs w:val="26"/>
              </w:rPr>
              <w:t>- Các đơn vị thuộc Bộ Tài chính;</w:t>
            </w:r>
          </w:p>
          <w:p w:rsidR="00233E4D" w:rsidRPr="00233E4D" w:rsidRDefault="00233E4D" w:rsidP="00233E4D">
            <w:pPr>
              <w:spacing w:before="100" w:beforeAutospacing="1" w:after="100" w:afterAutospacing="1" w:line="240" w:lineRule="auto"/>
              <w:rPr>
                <w:rFonts w:ascii="Times New Roman" w:eastAsia="Times New Roman" w:hAnsi="Times New Roman" w:cs="Times New Roman"/>
                <w:color w:val="222222"/>
                <w:sz w:val="26"/>
                <w:szCs w:val="26"/>
              </w:rPr>
            </w:pPr>
            <w:bookmarkStart w:id="17" w:name="bookmark61"/>
            <w:bookmarkEnd w:id="17"/>
            <w:r w:rsidRPr="00233E4D">
              <w:rPr>
                <w:rFonts w:ascii="Times New Roman" w:eastAsia="Times New Roman" w:hAnsi="Times New Roman" w:cs="Times New Roman"/>
                <w:color w:val="222222"/>
                <w:sz w:val="26"/>
                <w:szCs w:val="26"/>
              </w:rPr>
              <w:t>- Lưu: VT, KTN. (200 b)</w:t>
            </w:r>
          </w:p>
        </w:tc>
        <w:tc>
          <w:tcPr>
            <w:tcW w:w="2500" w:type="pct"/>
            <w:shd w:val="clear" w:color="auto" w:fill="FFFFFF"/>
            <w:hideMark/>
          </w:tcPr>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lastRenderedPageBreak/>
              <w:t>KT. BỘ TRƯỞNG</w:t>
            </w:r>
          </w:p>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t>THỨ TRƯỞNG</w:t>
            </w:r>
          </w:p>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t> </w:t>
            </w:r>
          </w:p>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t> </w:t>
            </w:r>
          </w:p>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t> </w:t>
            </w:r>
          </w:p>
          <w:p w:rsidR="00233E4D" w:rsidRPr="00233E4D" w:rsidRDefault="00233E4D" w:rsidP="00233E4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33E4D">
              <w:rPr>
                <w:rFonts w:ascii="Times New Roman" w:eastAsia="Times New Roman" w:hAnsi="Times New Roman" w:cs="Times New Roman"/>
                <w:b/>
                <w:bCs/>
                <w:color w:val="222222"/>
                <w:sz w:val="24"/>
                <w:szCs w:val="24"/>
              </w:rPr>
              <w:t>Bùi Văn Khắng</w:t>
            </w:r>
          </w:p>
        </w:tc>
      </w:tr>
    </w:tbl>
    <w:p w:rsidR="00FA42E6" w:rsidRDefault="00FA42E6">
      <w:bookmarkStart w:id="18" w:name="_GoBack"/>
      <w:bookmarkEnd w:id="18"/>
    </w:p>
    <w:sectPr w:rsidR="00FA4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4D"/>
    <w:rsid w:val="00233E4D"/>
    <w:rsid w:val="00FA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79092-AC2A-4377-BFBE-28B5FB7F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link">
    <w:name w:val="doclink"/>
    <w:basedOn w:val="DefaultParagraphFont"/>
    <w:rsid w:val="00233E4D"/>
  </w:style>
  <w:style w:type="character" w:styleId="Hyperlink">
    <w:name w:val="Hyperlink"/>
    <w:basedOn w:val="DefaultParagraphFont"/>
    <w:uiPriority w:val="99"/>
    <w:semiHidden/>
    <w:unhideWhenUsed/>
    <w:rsid w:val="00233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1143">
      <w:bodyDiv w:val="1"/>
      <w:marLeft w:val="0"/>
      <w:marRight w:val="0"/>
      <w:marTop w:val="0"/>
      <w:marBottom w:val="0"/>
      <w:divBdr>
        <w:top w:val="none" w:sz="0" w:space="0" w:color="auto"/>
        <w:left w:val="none" w:sz="0" w:space="0" w:color="auto"/>
        <w:bottom w:val="none" w:sz="0" w:space="0" w:color="auto"/>
        <w:right w:val="none" w:sz="0" w:space="0" w:color="auto"/>
      </w:divBdr>
      <w:divsChild>
        <w:div w:id="1738014721">
          <w:marLeft w:val="0"/>
          <w:marRight w:val="0"/>
          <w:marTop w:val="120"/>
          <w:marBottom w:val="120"/>
          <w:divBdr>
            <w:top w:val="none" w:sz="0" w:space="0" w:color="auto"/>
            <w:left w:val="none" w:sz="0" w:space="0" w:color="auto"/>
            <w:bottom w:val="none" w:sz="0" w:space="0" w:color="auto"/>
            <w:right w:val="none" w:sz="0" w:space="0" w:color="auto"/>
          </w:divBdr>
          <w:divsChild>
            <w:div w:id="884222838">
              <w:marLeft w:val="0"/>
              <w:marRight w:val="0"/>
              <w:marTop w:val="0"/>
              <w:marBottom w:val="0"/>
              <w:divBdr>
                <w:top w:val="none" w:sz="0" w:space="0" w:color="auto"/>
                <w:left w:val="none" w:sz="0" w:space="0" w:color="auto"/>
                <w:bottom w:val="none" w:sz="0" w:space="0" w:color="auto"/>
                <w:right w:val="none" w:sz="0" w:space="0" w:color="auto"/>
              </w:divBdr>
            </w:div>
          </w:divsChild>
        </w:div>
        <w:div w:id="738792864">
          <w:marLeft w:val="0"/>
          <w:marRight w:val="0"/>
          <w:marTop w:val="120"/>
          <w:marBottom w:val="120"/>
          <w:divBdr>
            <w:top w:val="none" w:sz="0" w:space="0" w:color="auto"/>
            <w:left w:val="none" w:sz="0" w:space="0" w:color="auto"/>
            <w:bottom w:val="none" w:sz="0" w:space="0" w:color="auto"/>
            <w:right w:val="none" w:sz="0" w:space="0" w:color="auto"/>
          </w:divBdr>
        </w:div>
        <w:div w:id="945500292">
          <w:marLeft w:val="0"/>
          <w:marRight w:val="0"/>
          <w:marTop w:val="120"/>
          <w:marBottom w:val="120"/>
          <w:divBdr>
            <w:top w:val="none" w:sz="0" w:space="0" w:color="auto"/>
            <w:left w:val="none" w:sz="0" w:space="0" w:color="auto"/>
            <w:bottom w:val="none" w:sz="0" w:space="0" w:color="auto"/>
            <w:right w:val="none" w:sz="0" w:space="0" w:color="auto"/>
          </w:divBdr>
        </w:div>
        <w:div w:id="1276330658">
          <w:marLeft w:val="0"/>
          <w:marRight w:val="0"/>
          <w:marTop w:val="120"/>
          <w:marBottom w:val="120"/>
          <w:divBdr>
            <w:top w:val="none" w:sz="0" w:space="0" w:color="auto"/>
            <w:left w:val="none" w:sz="0" w:space="0" w:color="auto"/>
            <w:bottom w:val="none" w:sz="0" w:space="0" w:color="auto"/>
            <w:right w:val="none" w:sz="0" w:space="0" w:color="auto"/>
          </w:divBdr>
        </w:div>
        <w:div w:id="1862550406">
          <w:marLeft w:val="0"/>
          <w:marRight w:val="0"/>
          <w:marTop w:val="120"/>
          <w:marBottom w:val="120"/>
          <w:divBdr>
            <w:top w:val="none" w:sz="0" w:space="0" w:color="auto"/>
            <w:left w:val="none" w:sz="0" w:space="0" w:color="auto"/>
            <w:bottom w:val="none" w:sz="0" w:space="0" w:color="auto"/>
            <w:right w:val="none" w:sz="0" w:space="0" w:color="auto"/>
          </w:divBdr>
        </w:div>
        <w:div w:id="2014212545">
          <w:marLeft w:val="0"/>
          <w:marRight w:val="0"/>
          <w:marTop w:val="120"/>
          <w:marBottom w:val="120"/>
          <w:divBdr>
            <w:top w:val="none" w:sz="0" w:space="0" w:color="auto"/>
            <w:left w:val="none" w:sz="0" w:space="0" w:color="auto"/>
            <w:bottom w:val="none" w:sz="0" w:space="0" w:color="auto"/>
            <w:right w:val="none" w:sz="0" w:space="0" w:color="auto"/>
          </w:divBdr>
        </w:div>
        <w:div w:id="328558250">
          <w:marLeft w:val="0"/>
          <w:marRight w:val="0"/>
          <w:marTop w:val="120"/>
          <w:marBottom w:val="120"/>
          <w:divBdr>
            <w:top w:val="none" w:sz="0" w:space="0" w:color="auto"/>
            <w:left w:val="none" w:sz="0" w:space="0" w:color="auto"/>
            <w:bottom w:val="none" w:sz="0" w:space="0" w:color="auto"/>
            <w:right w:val="none" w:sz="0" w:space="0" w:color="auto"/>
          </w:divBdr>
        </w:div>
        <w:div w:id="612857588">
          <w:marLeft w:val="0"/>
          <w:marRight w:val="0"/>
          <w:marTop w:val="120"/>
          <w:marBottom w:val="120"/>
          <w:divBdr>
            <w:top w:val="none" w:sz="0" w:space="0" w:color="auto"/>
            <w:left w:val="none" w:sz="0" w:space="0" w:color="auto"/>
            <w:bottom w:val="none" w:sz="0" w:space="0" w:color="auto"/>
            <w:right w:val="none" w:sz="0" w:space="0" w:color="auto"/>
          </w:divBdr>
        </w:div>
        <w:div w:id="626814484">
          <w:marLeft w:val="0"/>
          <w:marRight w:val="0"/>
          <w:marTop w:val="120"/>
          <w:marBottom w:val="120"/>
          <w:divBdr>
            <w:top w:val="none" w:sz="0" w:space="0" w:color="auto"/>
            <w:left w:val="none" w:sz="0" w:space="0" w:color="auto"/>
            <w:bottom w:val="none" w:sz="0" w:space="0" w:color="auto"/>
            <w:right w:val="none" w:sz="0" w:space="0" w:color="auto"/>
          </w:divBdr>
        </w:div>
        <w:div w:id="374156928">
          <w:marLeft w:val="0"/>
          <w:marRight w:val="0"/>
          <w:marTop w:val="120"/>
          <w:marBottom w:val="120"/>
          <w:divBdr>
            <w:top w:val="none" w:sz="0" w:space="0" w:color="auto"/>
            <w:left w:val="none" w:sz="0" w:space="0" w:color="auto"/>
            <w:bottom w:val="none" w:sz="0" w:space="0" w:color="auto"/>
            <w:right w:val="none" w:sz="0" w:space="0" w:color="auto"/>
          </w:divBdr>
        </w:div>
        <w:div w:id="1816407642">
          <w:marLeft w:val="0"/>
          <w:marRight w:val="0"/>
          <w:marTop w:val="120"/>
          <w:marBottom w:val="120"/>
          <w:divBdr>
            <w:top w:val="none" w:sz="0" w:space="0" w:color="auto"/>
            <w:left w:val="none" w:sz="0" w:space="0" w:color="auto"/>
            <w:bottom w:val="none" w:sz="0" w:space="0" w:color="auto"/>
            <w:right w:val="none" w:sz="0" w:space="0" w:color="auto"/>
          </w:divBdr>
        </w:div>
        <w:div w:id="1458909736">
          <w:marLeft w:val="0"/>
          <w:marRight w:val="0"/>
          <w:marTop w:val="120"/>
          <w:marBottom w:val="120"/>
          <w:divBdr>
            <w:top w:val="none" w:sz="0" w:space="0" w:color="auto"/>
            <w:left w:val="none" w:sz="0" w:space="0" w:color="auto"/>
            <w:bottom w:val="none" w:sz="0" w:space="0" w:color="auto"/>
            <w:right w:val="none" w:sz="0" w:space="0" w:color="auto"/>
          </w:divBdr>
        </w:div>
        <w:div w:id="1089814224">
          <w:marLeft w:val="0"/>
          <w:marRight w:val="0"/>
          <w:marTop w:val="120"/>
          <w:marBottom w:val="120"/>
          <w:divBdr>
            <w:top w:val="none" w:sz="0" w:space="0" w:color="auto"/>
            <w:left w:val="none" w:sz="0" w:space="0" w:color="auto"/>
            <w:bottom w:val="none" w:sz="0" w:space="0" w:color="auto"/>
            <w:right w:val="none" w:sz="0" w:space="0" w:color="auto"/>
          </w:divBdr>
        </w:div>
        <w:div w:id="1264729346">
          <w:marLeft w:val="0"/>
          <w:marRight w:val="0"/>
          <w:marTop w:val="120"/>
          <w:marBottom w:val="120"/>
          <w:divBdr>
            <w:top w:val="none" w:sz="0" w:space="0" w:color="auto"/>
            <w:left w:val="none" w:sz="0" w:space="0" w:color="auto"/>
            <w:bottom w:val="none" w:sz="0" w:space="0" w:color="auto"/>
            <w:right w:val="none" w:sz="0" w:space="0" w:color="auto"/>
          </w:divBdr>
        </w:div>
        <w:div w:id="436483661">
          <w:marLeft w:val="0"/>
          <w:marRight w:val="0"/>
          <w:marTop w:val="120"/>
          <w:marBottom w:val="120"/>
          <w:divBdr>
            <w:top w:val="none" w:sz="0" w:space="0" w:color="auto"/>
            <w:left w:val="none" w:sz="0" w:space="0" w:color="auto"/>
            <w:bottom w:val="none" w:sz="0" w:space="0" w:color="auto"/>
            <w:right w:val="none" w:sz="0" w:space="0" w:color="auto"/>
          </w:divBdr>
        </w:div>
        <w:div w:id="1075014502">
          <w:marLeft w:val="0"/>
          <w:marRight w:val="0"/>
          <w:marTop w:val="120"/>
          <w:marBottom w:val="120"/>
          <w:divBdr>
            <w:top w:val="none" w:sz="0" w:space="0" w:color="auto"/>
            <w:left w:val="none" w:sz="0" w:space="0" w:color="auto"/>
            <w:bottom w:val="none" w:sz="0" w:space="0" w:color="auto"/>
            <w:right w:val="none" w:sz="0" w:space="0" w:color="auto"/>
          </w:divBdr>
        </w:div>
        <w:div w:id="1122460094">
          <w:marLeft w:val="0"/>
          <w:marRight w:val="0"/>
          <w:marTop w:val="120"/>
          <w:marBottom w:val="120"/>
          <w:divBdr>
            <w:top w:val="none" w:sz="0" w:space="0" w:color="auto"/>
            <w:left w:val="none" w:sz="0" w:space="0" w:color="auto"/>
            <w:bottom w:val="none" w:sz="0" w:space="0" w:color="auto"/>
            <w:right w:val="none" w:sz="0" w:space="0" w:color="auto"/>
          </w:divBdr>
        </w:div>
        <w:div w:id="1849559772">
          <w:marLeft w:val="0"/>
          <w:marRight w:val="0"/>
          <w:marTop w:val="120"/>
          <w:marBottom w:val="120"/>
          <w:divBdr>
            <w:top w:val="none" w:sz="0" w:space="0" w:color="auto"/>
            <w:left w:val="none" w:sz="0" w:space="0" w:color="auto"/>
            <w:bottom w:val="none" w:sz="0" w:space="0" w:color="auto"/>
            <w:right w:val="none" w:sz="0" w:space="0" w:color="auto"/>
          </w:divBdr>
        </w:div>
        <w:div w:id="311760245">
          <w:marLeft w:val="0"/>
          <w:marRight w:val="0"/>
          <w:marTop w:val="120"/>
          <w:marBottom w:val="120"/>
          <w:divBdr>
            <w:top w:val="none" w:sz="0" w:space="0" w:color="auto"/>
            <w:left w:val="none" w:sz="0" w:space="0" w:color="auto"/>
            <w:bottom w:val="none" w:sz="0" w:space="0" w:color="auto"/>
            <w:right w:val="none" w:sz="0" w:space="0" w:color="auto"/>
          </w:divBdr>
        </w:div>
        <w:div w:id="669649097">
          <w:marLeft w:val="0"/>
          <w:marRight w:val="0"/>
          <w:marTop w:val="120"/>
          <w:marBottom w:val="120"/>
          <w:divBdr>
            <w:top w:val="none" w:sz="0" w:space="0" w:color="auto"/>
            <w:left w:val="none" w:sz="0" w:space="0" w:color="auto"/>
            <w:bottom w:val="none" w:sz="0" w:space="0" w:color="auto"/>
            <w:right w:val="none" w:sz="0" w:space="0" w:color="auto"/>
          </w:divBdr>
        </w:div>
        <w:div w:id="168329027">
          <w:marLeft w:val="0"/>
          <w:marRight w:val="0"/>
          <w:marTop w:val="120"/>
          <w:marBottom w:val="120"/>
          <w:divBdr>
            <w:top w:val="none" w:sz="0" w:space="0" w:color="auto"/>
            <w:left w:val="none" w:sz="0" w:space="0" w:color="auto"/>
            <w:bottom w:val="none" w:sz="0" w:space="0" w:color="auto"/>
            <w:right w:val="none" w:sz="0" w:space="0" w:color="auto"/>
          </w:divBdr>
        </w:div>
        <w:div w:id="1503735243">
          <w:marLeft w:val="0"/>
          <w:marRight w:val="0"/>
          <w:marTop w:val="120"/>
          <w:marBottom w:val="120"/>
          <w:divBdr>
            <w:top w:val="none" w:sz="0" w:space="0" w:color="auto"/>
            <w:left w:val="none" w:sz="0" w:space="0" w:color="auto"/>
            <w:bottom w:val="none" w:sz="0" w:space="0" w:color="auto"/>
            <w:right w:val="none" w:sz="0" w:space="0" w:color="auto"/>
          </w:divBdr>
        </w:div>
        <w:div w:id="1594052907">
          <w:marLeft w:val="0"/>
          <w:marRight w:val="0"/>
          <w:marTop w:val="120"/>
          <w:marBottom w:val="120"/>
          <w:divBdr>
            <w:top w:val="none" w:sz="0" w:space="0" w:color="auto"/>
            <w:left w:val="none" w:sz="0" w:space="0" w:color="auto"/>
            <w:bottom w:val="none" w:sz="0" w:space="0" w:color="auto"/>
            <w:right w:val="none" w:sz="0" w:space="0" w:color="auto"/>
          </w:divBdr>
        </w:div>
        <w:div w:id="75514078">
          <w:marLeft w:val="0"/>
          <w:marRight w:val="0"/>
          <w:marTop w:val="120"/>
          <w:marBottom w:val="120"/>
          <w:divBdr>
            <w:top w:val="none" w:sz="0" w:space="0" w:color="auto"/>
            <w:left w:val="none" w:sz="0" w:space="0" w:color="auto"/>
            <w:bottom w:val="none" w:sz="0" w:space="0" w:color="auto"/>
            <w:right w:val="none" w:sz="0" w:space="0" w:color="auto"/>
          </w:divBdr>
        </w:div>
        <w:div w:id="776101569">
          <w:marLeft w:val="0"/>
          <w:marRight w:val="0"/>
          <w:marTop w:val="120"/>
          <w:marBottom w:val="120"/>
          <w:divBdr>
            <w:top w:val="none" w:sz="0" w:space="0" w:color="auto"/>
            <w:left w:val="none" w:sz="0" w:space="0" w:color="auto"/>
            <w:bottom w:val="none" w:sz="0" w:space="0" w:color="auto"/>
            <w:right w:val="none" w:sz="0" w:space="0" w:color="auto"/>
          </w:divBdr>
        </w:div>
        <w:div w:id="806626110">
          <w:marLeft w:val="0"/>
          <w:marRight w:val="0"/>
          <w:marTop w:val="120"/>
          <w:marBottom w:val="120"/>
          <w:divBdr>
            <w:top w:val="none" w:sz="0" w:space="0" w:color="auto"/>
            <w:left w:val="none" w:sz="0" w:space="0" w:color="auto"/>
            <w:bottom w:val="none" w:sz="0" w:space="0" w:color="auto"/>
            <w:right w:val="none" w:sz="0" w:space="0" w:color="auto"/>
          </w:divBdr>
        </w:div>
        <w:div w:id="333918296">
          <w:marLeft w:val="0"/>
          <w:marRight w:val="0"/>
          <w:marTop w:val="120"/>
          <w:marBottom w:val="120"/>
          <w:divBdr>
            <w:top w:val="none" w:sz="0" w:space="0" w:color="auto"/>
            <w:left w:val="none" w:sz="0" w:space="0" w:color="auto"/>
            <w:bottom w:val="none" w:sz="0" w:space="0" w:color="auto"/>
            <w:right w:val="none" w:sz="0" w:space="0" w:color="auto"/>
          </w:divBdr>
        </w:div>
        <w:div w:id="825821859">
          <w:marLeft w:val="0"/>
          <w:marRight w:val="0"/>
          <w:marTop w:val="120"/>
          <w:marBottom w:val="120"/>
          <w:divBdr>
            <w:top w:val="none" w:sz="0" w:space="0" w:color="auto"/>
            <w:left w:val="none" w:sz="0" w:space="0" w:color="auto"/>
            <w:bottom w:val="none" w:sz="0" w:space="0" w:color="auto"/>
            <w:right w:val="none" w:sz="0" w:space="0" w:color="auto"/>
          </w:divBdr>
          <w:divsChild>
            <w:div w:id="18712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m-chieu.html?DocItemId=754655" TargetMode="External"/><Relationship Id="rId13" Type="http://schemas.openxmlformats.org/officeDocument/2006/relationships/hyperlink" Target="https://luatvietnam.vn/noi-dung-tham-chieu.html?DocItemId=75467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uatvietnam.vn/noi-dung-tham-chieu.html?DocItemId=754652" TargetMode="External"/><Relationship Id="rId12" Type="http://schemas.openxmlformats.org/officeDocument/2006/relationships/hyperlink" Target="https://luatvietnam.vn/noi-dung-tham-chieu.html?DocItemId=75469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uatvietnam.vn/noi-dung-tham-chieu.html?DocItemId=754711" TargetMode="External"/><Relationship Id="rId1" Type="http://schemas.openxmlformats.org/officeDocument/2006/relationships/styles" Target="styles.xml"/><Relationship Id="rId6" Type="http://schemas.openxmlformats.org/officeDocument/2006/relationships/hyperlink" Target="https://luatvietnam.vn/noi-dung-tham-chieu.html?DocItemId=754644" TargetMode="External"/><Relationship Id="rId11" Type="http://schemas.openxmlformats.org/officeDocument/2006/relationships/hyperlink" Target="https://luatvietnam.vn/noi-dung-tham-chieu.html?DocItemId=754691" TargetMode="External"/><Relationship Id="rId5" Type="http://schemas.openxmlformats.org/officeDocument/2006/relationships/hyperlink" Target="https://luatvietnam.vn/noi-dung-tham-chieu.html?DocItemId=754641" TargetMode="External"/><Relationship Id="rId15" Type="http://schemas.openxmlformats.org/officeDocument/2006/relationships/hyperlink" Target="https://luatvietnam.vn/noi-dung-tham-chieu.html?DocItemId=754622" TargetMode="External"/><Relationship Id="rId10" Type="http://schemas.openxmlformats.org/officeDocument/2006/relationships/hyperlink" Target="https://luatvietnam.vn/noi-dung-tham-chieu.html?DocItemId=754689" TargetMode="External"/><Relationship Id="rId4" Type="http://schemas.openxmlformats.org/officeDocument/2006/relationships/hyperlink" Target="https://luatvietnam.vn/noi-dung-tham-chieu.html?DocItemId=754638" TargetMode="External"/><Relationship Id="rId9" Type="http://schemas.openxmlformats.org/officeDocument/2006/relationships/hyperlink" Target="https://luatvietnam.vn/noi-dung-tham-chieu.html?DocItemId=754664" TargetMode="External"/><Relationship Id="rId14" Type="http://schemas.openxmlformats.org/officeDocument/2006/relationships/hyperlink" Target="https://luatvietnam.vn/noi-dung-tham-chieu.html?DocItemId=754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2025-03-31T09:31:00Z</dcterms:created>
  <dcterms:modified xsi:type="dcterms:W3CDTF">2025-03-31T09:31:00Z</dcterms:modified>
</cp:coreProperties>
</file>