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419A9" w:rsidRPr="008419A9" w:rsidTr="008419A9">
        <w:trPr>
          <w:tblCellSpacing w:w="0" w:type="dxa"/>
        </w:trPr>
        <w:tc>
          <w:tcPr>
            <w:tcW w:w="3348" w:type="dxa"/>
            <w:tcMar>
              <w:top w:w="0" w:type="dxa"/>
              <w:left w:w="108" w:type="dxa"/>
              <w:bottom w:w="0" w:type="dxa"/>
              <w:right w:w="108" w:type="dxa"/>
            </w:tcMar>
            <w:hideMark/>
          </w:tcPr>
          <w:p w:rsidR="008419A9" w:rsidRPr="008419A9" w:rsidRDefault="008419A9" w:rsidP="008419A9">
            <w:pPr>
              <w:spacing w:before="120" w:after="100" w:afterAutospacing="1" w:line="240" w:lineRule="auto"/>
              <w:jc w:val="center"/>
              <w:rPr>
                <w:rFonts w:ascii="Times New Roman" w:eastAsia="Times New Roman" w:hAnsi="Times New Roman" w:cs="Times New Roman"/>
                <w:sz w:val="24"/>
                <w:szCs w:val="24"/>
              </w:rPr>
            </w:pPr>
            <w:r w:rsidRPr="008419A9">
              <w:rPr>
                <w:rFonts w:ascii="Times New Roman" w:eastAsia="Times New Roman" w:hAnsi="Times New Roman" w:cs="Times New Roman"/>
                <w:b/>
                <w:bCs/>
                <w:sz w:val="24"/>
                <w:szCs w:val="24"/>
              </w:rPr>
              <w:t>BỘ TÀI CHÍNH</w:t>
            </w:r>
            <w:r w:rsidRPr="008419A9">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8419A9" w:rsidRPr="008419A9" w:rsidRDefault="008419A9" w:rsidP="008419A9">
            <w:pPr>
              <w:spacing w:before="120" w:after="100" w:afterAutospacing="1" w:line="240" w:lineRule="auto"/>
              <w:jc w:val="center"/>
              <w:rPr>
                <w:rFonts w:ascii="Times New Roman" w:eastAsia="Times New Roman" w:hAnsi="Times New Roman" w:cs="Times New Roman"/>
                <w:sz w:val="24"/>
                <w:szCs w:val="24"/>
              </w:rPr>
            </w:pPr>
            <w:r w:rsidRPr="008419A9">
              <w:rPr>
                <w:rFonts w:ascii="Times New Roman" w:eastAsia="Times New Roman" w:hAnsi="Times New Roman" w:cs="Times New Roman"/>
                <w:b/>
                <w:bCs/>
                <w:sz w:val="24"/>
                <w:szCs w:val="24"/>
              </w:rPr>
              <w:t>CỘNG HÒA XÃ HỘI CHỦ NGHĨA VIỆT NAM</w:t>
            </w:r>
            <w:r w:rsidRPr="008419A9">
              <w:rPr>
                <w:rFonts w:ascii="Times New Roman" w:eastAsia="Times New Roman" w:hAnsi="Times New Roman" w:cs="Times New Roman"/>
                <w:b/>
                <w:bCs/>
                <w:sz w:val="24"/>
                <w:szCs w:val="24"/>
              </w:rPr>
              <w:br/>
              <w:t>Độc lập - Tự do - Hạnh phúc</w:t>
            </w:r>
            <w:r w:rsidRPr="008419A9">
              <w:rPr>
                <w:rFonts w:ascii="Times New Roman" w:eastAsia="Times New Roman" w:hAnsi="Times New Roman" w:cs="Times New Roman"/>
                <w:b/>
                <w:bCs/>
                <w:sz w:val="24"/>
                <w:szCs w:val="24"/>
              </w:rPr>
              <w:br/>
              <w:t>---------------</w:t>
            </w:r>
          </w:p>
        </w:tc>
      </w:tr>
      <w:tr w:rsidR="008419A9" w:rsidRPr="008419A9" w:rsidTr="008419A9">
        <w:trPr>
          <w:tblCellSpacing w:w="0" w:type="dxa"/>
        </w:trPr>
        <w:tc>
          <w:tcPr>
            <w:tcW w:w="3348" w:type="dxa"/>
            <w:tcMar>
              <w:top w:w="0" w:type="dxa"/>
              <w:left w:w="108" w:type="dxa"/>
              <w:bottom w:w="0" w:type="dxa"/>
              <w:right w:w="108" w:type="dxa"/>
            </w:tcMar>
            <w:hideMark/>
          </w:tcPr>
          <w:p w:rsidR="008419A9" w:rsidRPr="008419A9" w:rsidRDefault="008419A9" w:rsidP="008419A9">
            <w:pPr>
              <w:spacing w:before="120" w:after="100" w:afterAutospacing="1" w:line="240" w:lineRule="auto"/>
              <w:jc w:val="center"/>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Số: 77/2025/TT-BTC</w:t>
            </w:r>
          </w:p>
        </w:tc>
        <w:tc>
          <w:tcPr>
            <w:tcW w:w="5508" w:type="dxa"/>
            <w:tcMar>
              <w:top w:w="0" w:type="dxa"/>
              <w:left w:w="108" w:type="dxa"/>
              <w:bottom w:w="0" w:type="dxa"/>
              <w:right w:w="108" w:type="dxa"/>
            </w:tcMar>
            <w:hideMark/>
          </w:tcPr>
          <w:p w:rsidR="008419A9" w:rsidRPr="008419A9" w:rsidRDefault="008419A9" w:rsidP="008419A9">
            <w:pPr>
              <w:spacing w:before="120" w:after="100" w:afterAutospacing="1" w:line="240" w:lineRule="auto"/>
              <w:jc w:val="right"/>
              <w:rPr>
                <w:rFonts w:ascii="Times New Roman" w:eastAsia="Times New Roman" w:hAnsi="Times New Roman" w:cs="Times New Roman"/>
                <w:sz w:val="24"/>
                <w:szCs w:val="24"/>
              </w:rPr>
            </w:pPr>
            <w:r w:rsidRPr="008419A9">
              <w:rPr>
                <w:rFonts w:ascii="Times New Roman" w:eastAsia="Times New Roman" w:hAnsi="Times New Roman" w:cs="Times New Roman"/>
                <w:i/>
                <w:iCs/>
                <w:sz w:val="24"/>
                <w:szCs w:val="24"/>
              </w:rPr>
              <w:t>Hà Nội, ngày 30 tháng 7 năm 2025</w:t>
            </w:r>
          </w:p>
        </w:tc>
      </w:tr>
    </w:tbl>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 </w:t>
      </w:r>
    </w:p>
    <w:p w:rsidR="008419A9" w:rsidRPr="008419A9" w:rsidRDefault="008419A9" w:rsidP="008419A9">
      <w:pPr>
        <w:spacing w:before="120" w:after="100" w:afterAutospacing="1" w:line="240" w:lineRule="auto"/>
        <w:jc w:val="center"/>
        <w:rPr>
          <w:rFonts w:ascii="Times New Roman" w:eastAsia="Times New Roman" w:hAnsi="Times New Roman" w:cs="Times New Roman"/>
          <w:sz w:val="24"/>
          <w:szCs w:val="24"/>
        </w:rPr>
      </w:pPr>
      <w:bookmarkStart w:id="0" w:name="loai_1"/>
      <w:r w:rsidRPr="008419A9">
        <w:rPr>
          <w:rFonts w:ascii="Times New Roman" w:eastAsia="Times New Roman" w:hAnsi="Times New Roman" w:cs="Times New Roman"/>
          <w:b/>
          <w:bCs/>
          <w:sz w:val="24"/>
          <w:szCs w:val="24"/>
        </w:rPr>
        <w:t>THÔNG TƯ</w:t>
      </w:r>
      <w:bookmarkEnd w:id="0"/>
    </w:p>
    <w:p w:rsidR="008419A9" w:rsidRPr="008419A9" w:rsidRDefault="008419A9" w:rsidP="008419A9">
      <w:pPr>
        <w:spacing w:before="120" w:after="100" w:afterAutospacing="1" w:line="240" w:lineRule="auto"/>
        <w:jc w:val="center"/>
        <w:rPr>
          <w:rFonts w:ascii="Times New Roman" w:eastAsia="Times New Roman" w:hAnsi="Times New Roman" w:cs="Times New Roman"/>
          <w:sz w:val="24"/>
          <w:szCs w:val="24"/>
        </w:rPr>
      </w:pPr>
      <w:bookmarkStart w:id="1" w:name="loai_1_name"/>
      <w:r w:rsidRPr="008419A9">
        <w:rPr>
          <w:rFonts w:ascii="Times New Roman" w:eastAsia="Times New Roman" w:hAnsi="Times New Roman" w:cs="Times New Roman"/>
          <w:sz w:val="24"/>
          <w:szCs w:val="24"/>
        </w:rPr>
        <w:t>QUY ĐỊNH CHI TIẾT CÁC DỊCH VỤ KINH DOANH CHỨNG KHOÁN VÀ CHUYỂN NHƯỢNG CHỨNG KHOÁN THEO NGHỊ ĐỊNH SỐ 181/2025/NĐ-CP NGÀY 01 THÁNG 7 NĂM 2025 CỦA CHÍNH PHỦ QUY ĐỊNH CHI TIẾT THI HÀNH MỘT SỐ ĐIỀU CỦA LUẬT THUẾ GIÁ TRỊ GIA TĂNG</w:t>
      </w:r>
      <w:bookmarkEnd w:id="1"/>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i/>
          <w:iCs/>
          <w:sz w:val="24"/>
          <w:szCs w:val="24"/>
        </w:rPr>
        <w:t>Căn cứ Luật Chứng khoán số 54/2019/QH14 được sửa đổi, bổ sung bởi Luật số 56/2024/QH15;</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i/>
          <w:iCs/>
          <w:sz w:val="24"/>
          <w:szCs w:val="24"/>
        </w:rPr>
        <w:t>Căn cứ Luật Thuế giá trị gia tăng số 48/2024/QH15;</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i/>
          <w:iCs/>
          <w:sz w:val="24"/>
          <w:szCs w:val="24"/>
        </w:rPr>
        <w:t>Căn cứ Nghị định số 155/2020/NĐ-CP ngày 31 tháng 12 năm 2020 của Chính phủ quy định chi tiết thi hành một số điều của Luật Chứng khoán;</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i/>
          <w:iCs/>
          <w:sz w:val="24"/>
          <w:szCs w:val="24"/>
        </w:rPr>
        <w:t>Căn cứ Nghị định số 181/2025/NĐ-CP ngày 01 tháng 7 năm 2025 của Chính phủ quy định chi tiết thi hành một số điều của Luật Thuế giá trị gia tăng;</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i/>
          <w:iCs/>
          <w:sz w:val="24"/>
          <w:szCs w:val="24"/>
        </w:rPr>
        <w:t>Căn cứ Nghị định số 29/2025/NĐ-CP ngày 24 tháng 02 năm 2025 của Chính phủ quy định chức năng, nhiệm vụ, quyền hạn và cơ cấu tổ chức của Bộ Tài chính được sửa đổi, bổ sung bởi Nghị định số 166/2025/NĐ-CP;</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i/>
          <w:iCs/>
          <w:sz w:val="24"/>
          <w:szCs w:val="24"/>
        </w:rPr>
        <w:t>Theo đề nghị của Chủ tịch Ủy ban Chứng khoán Nhà nước;</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i/>
          <w:iCs/>
          <w:sz w:val="24"/>
          <w:szCs w:val="24"/>
        </w:rPr>
        <w:t>Bộ trưởng Bộ Tài chính ban hành Thông tư quy định chi tiết các dịch vụ kinh doanh chứng khoán và chuyển nhượng chứng khoán theo Nghị định số 181/2025/NĐ-CP ngày 01 tháng 7 năm 2025 của Chính phủ quy định chi tiết thi hành một số điều của Luật Thuế giá trị gia tăng.</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bookmarkStart w:id="2" w:name="dieu_1"/>
      <w:r w:rsidRPr="008419A9">
        <w:rPr>
          <w:rFonts w:ascii="Times New Roman" w:eastAsia="Times New Roman" w:hAnsi="Times New Roman" w:cs="Times New Roman"/>
          <w:b/>
          <w:bCs/>
          <w:sz w:val="24"/>
          <w:szCs w:val="24"/>
        </w:rPr>
        <w:t>Điều 1. Phạm vi điều chỉnh</w:t>
      </w:r>
      <w:bookmarkEnd w:id="2"/>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 xml:space="preserve">Thông tư này quy định chi tiết về các dịch vụ kinh doanh chứng khoán và chuyển nhượng chứng khoán tại </w:t>
      </w:r>
      <w:bookmarkStart w:id="3" w:name="dc_1"/>
      <w:r w:rsidRPr="008419A9">
        <w:rPr>
          <w:rFonts w:ascii="Times New Roman" w:eastAsia="Times New Roman" w:hAnsi="Times New Roman" w:cs="Times New Roman"/>
          <w:sz w:val="24"/>
          <w:szCs w:val="24"/>
        </w:rPr>
        <w:t>điểm c và điểm d khoản 4 Điều 4 Nghị định số 181/2025/NĐ-CP</w:t>
      </w:r>
      <w:bookmarkEnd w:id="3"/>
      <w:r w:rsidRPr="008419A9">
        <w:rPr>
          <w:rFonts w:ascii="Times New Roman" w:eastAsia="Times New Roman" w:hAnsi="Times New Roman" w:cs="Times New Roman"/>
          <w:sz w:val="24"/>
          <w:szCs w:val="24"/>
        </w:rPr>
        <w:t xml:space="preserve"> ngày 01 tháng 7 năm 2025 của Chính phủ quy định chi tiết thi hành một số điều của Luật Thuế giá trị gia tăng (sau đây gọi là Nghị định số 181/2025/NĐ-CP).</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bookmarkStart w:id="4" w:name="dieu_2"/>
      <w:r w:rsidRPr="008419A9">
        <w:rPr>
          <w:rFonts w:ascii="Times New Roman" w:eastAsia="Times New Roman" w:hAnsi="Times New Roman" w:cs="Times New Roman"/>
          <w:b/>
          <w:bCs/>
          <w:sz w:val="24"/>
          <w:szCs w:val="24"/>
        </w:rPr>
        <w:t>Điều 2. Đối tượng áp dụng</w:t>
      </w:r>
      <w:bookmarkEnd w:id="4"/>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Đối tượng áp dụng của Thông tư này bao gồm:</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 xml:space="preserve">1. Người nộp thuế quy định tại </w:t>
      </w:r>
      <w:bookmarkStart w:id="5" w:name="dc_5"/>
      <w:r w:rsidRPr="008419A9">
        <w:rPr>
          <w:rFonts w:ascii="Times New Roman" w:eastAsia="Times New Roman" w:hAnsi="Times New Roman" w:cs="Times New Roman"/>
          <w:sz w:val="24"/>
          <w:szCs w:val="24"/>
        </w:rPr>
        <w:t>Điều 3 Nghị định số 181/2025/NĐ-CP</w:t>
      </w:r>
      <w:bookmarkEnd w:id="5"/>
      <w:r w:rsidRPr="008419A9">
        <w:rPr>
          <w:rFonts w:ascii="Times New Roman" w:eastAsia="Times New Roman" w:hAnsi="Times New Roman" w:cs="Times New Roman"/>
          <w:sz w:val="24"/>
          <w:szCs w:val="24"/>
        </w:rPr>
        <w:t>.</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lastRenderedPageBreak/>
        <w:t>2. Cơ quan quản lý thuế theo quy định của pháp luật về quản lý thuế.</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3. Các tổ chức, cá nhân khác có liên quan.</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bookmarkStart w:id="6" w:name="dieu_3"/>
      <w:r w:rsidRPr="008419A9">
        <w:rPr>
          <w:rFonts w:ascii="Times New Roman" w:eastAsia="Times New Roman" w:hAnsi="Times New Roman" w:cs="Times New Roman"/>
          <w:b/>
          <w:bCs/>
          <w:sz w:val="24"/>
          <w:szCs w:val="24"/>
        </w:rPr>
        <w:t>Điều 3. Các dịch vụ kinh doanh chứng khoán tại</w:t>
      </w:r>
      <w:bookmarkEnd w:id="6"/>
      <w:r w:rsidRPr="008419A9">
        <w:rPr>
          <w:rFonts w:ascii="Times New Roman" w:eastAsia="Times New Roman" w:hAnsi="Times New Roman" w:cs="Times New Roman"/>
          <w:b/>
          <w:bCs/>
          <w:sz w:val="24"/>
          <w:szCs w:val="24"/>
        </w:rPr>
        <w:t xml:space="preserve"> </w:t>
      </w:r>
      <w:bookmarkStart w:id="7" w:name="dc_2"/>
      <w:r w:rsidRPr="008419A9">
        <w:rPr>
          <w:rFonts w:ascii="Times New Roman" w:eastAsia="Times New Roman" w:hAnsi="Times New Roman" w:cs="Times New Roman"/>
          <w:b/>
          <w:bCs/>
          <w:sz w:val="24"/>
          <w:szCs w:val="24"/>
        </w:rPr>
        <w:t>điểm c khoản 4 Điều 4 Nghị định số 181/2025/NĐ-CP</w:t>
      </w:r>
      <w:bookmarkEnd w:id="7"/>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1. Môi giới chứng khoán tại công ty chứng khoán; nhận ủy thác quản lý tài khoản giao dịch chứng khoán của nhà đầu tư cá nhân, quản lý tài khoản giao dịch chứng khoán, dịch vụ giao dịch chứng khoán trực tuyến, dịch vụ cho khách hàng vay tiền mua chứng khoán, dịch vụ ứng trước tiền bán chứng khoán tại công ty chứng khoán; dịch vụ giao dịch chứng khoán, dịch vụ kết nối trực tuyến, dịch vụ sử dụng thiết bị đầu cuối tại Sở giao dịch chứng khoán; dịch vụ vay và cho vay chứng khoán, lưu ký chứng khoán, bù trừ, thanh toán giao dịch chứng khoán, xử lý lỗi, sửa lỗi sau giao dịch, quản lý tài sản ký quỹ, quản lý vị thế tại thành viên lưu ký, thành viên bù trừ, Tổng công ty lưu ký và bù trừ chứng khoán Việt Nam và công ty con; thanh toán gốc, lãi, tiền mua lại trái phiếu Chính phủ, công trái Xây dựng Tổ quốc, trái phiếu được Chính phủ bảo lãnh, trái phiếu chính quyền địa phương, tín phiếu kho bạc.</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2. Tự doanh chứng khoán tại công ty chứng khoán; đầu tư, góp vốn, phát hành, chào bán các sản phẩm tài chính, chứng quyền có bảo đảm; giao dịch tạo lập thị trường.</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 xml:space="preserve">3. Bảo lãnh phát hành chứng khoán, các dịch vụ gắn với nghiệp vụ bảo lãnh phát hành chứng khoán theo quy định tại </w:t>
      </w:r>
      <w:bookmarkStart w:id="8" w:name="dc_3"/>
      <w:r w:rsidRPr="008419A9">
        <w:rPr>
          <w:rFonts w:ascii="Times New Roman" w:eastAsia="Times New Roman" w:hAnsi="Times New Roman" w:cs="Times New Roman"/>
          <w:sz w:val="24"/>
          <w:szCs w:val="24"/>
        </w:rPr>
        <w:t>khoản 3 Điều 86 Luật Chứng khoán số 54/2019/QH14</w:t>
      </w:r>
      <w:bookmarkEnd w:id="8"/>
      <w:r w:rsidRPr="008419A9">
        <w:rPr>
          <w:rFonts w:ascii="Times New Roman" w:eastAsia="Times New Roman" w:hAnsi="Times New Roman" w:cs="Times New Roman"/>
          <w:sz w:val="24"/>
          <w:szCs w:val="24"/>
        </w:rPr>
        <w:t xml:space="preserve"> và được thể hiện trên hợp đồng bảo lãnh phát hành chứng khoán.</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bookmarkStart w:id="9" w:name="_GoBack"/>
      <w:bookmarkEnd w:id="9"/>
      <w:r w:rsidRPr="008419A9">
        <w:rPr>
          <w:rFonts w:ascii="Times New Roman" w:eastAsia="Times New Roman" w:hAnsi="Times New Roman" w:cs="Times New Roman"/>
          <w:sz w:val="24"/>
          <w:szCs w:val="24"/>
        </w:rPr>
        <w:t>4. Tư vấn đầu tư chứng khoán.</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5. Quản lý quỹ đầu tư chứng khoán.</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6. Quản lý danh mục đầu tư chứng khoán.</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bookmarkStart w:id="10" w:name="dieu_4"/>
      <w:r w:rsidRPr="008419A9">
        <w:rPr>
          <w:rFonts w:ascii="Times New Roman" w:eastAsia="Times New Roman" w:hAnsi="Times New Roman" w:cs="Times New Roman"/>
          <w:b/>
          <w:bCs/>
          <w:sz w:val="24"/>
          <w:szCs w:val="24"/>
        </w:rPr>
        <w:t>Điều 4. Chuyển nhượng chứng khoán tại</w:t>
      </w:r>
      <w:bookmarkEnd w:id="10"/>
      <w:r w:rsidRPr="008419A9">
        <w:rPr>
          <w:rFonts w:ascii="Times New Roman" w:eastAsia="Times New Roman" w:hAnsi="Times New Roman" w:cs="Times New Roman"/>
          <w:b/>
          <w:bCs/>
          <w:sz w:val="24"/>
          <w:szCs w:val="24"/>
        </w:rPr>
        <w:t xml:space="preserve"> </w:t>
      </w:r>
      <w:bookmarkStart w:id="11" w:name="dc_4"/>
      <w:r w:rsidRPr="008419A9">
        <w:rPr>
          <w:rFonts w:ascii="Times New Roman" w:eastAsia="Times New Roman" w:hAnsi="Times New Roman" w:cs="Times New Roman"/>
          <w:b/>
          <w:bCs/>
          <w:sz w:val="24"/>
          <w:szCs w:val="24"/>
        </w:rPr>
        <w:t>điểm d khoản 4 Điều 4 Nghị định số 181/2025/NĐ-CP</w:t>
      </w:r>
      <w:bookmarkEnd w:id="11"/>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1. Chuyển nhượng chứng khoán thực hiện qua hệ thống giao dịch chứng khoán của Sở giao dịch chứng khoán; chuyển quyền sở hữu chứng khoán ngoài hệ thống của Sở giao dịch chứng khoán; chuyển khoản chứng khoán.</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2. Đấu giá, đấu thầu, chào bán cạnh tranh, dựng sổ.</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bookmarkStart w:id="12" w:name="dieu_5"/>
      <w:r w:rsidRPr="008419A9">
        <w:rPr>
          <w:rFonts w:ascii="Times New Roman" w:eastAsia="Times New Roman" w:hAnsi="Times New Roman" w:cs="Times New Roman"/>
          <w:b/>
          <w:bCs/>
          <w:sz w:val="24"/>
          <w:szCs w:val="24"/>
        </w:rPr>
        <w:t>Điều 5. Hiệu lực thi hành</w:t>
      </w:r>
      <w:bookmarkEnd w:id="12"/>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1. Thông tư này có hiệu lực thi hành kể từ ngày 30 tháng 7 năm 2025.</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t>2. Trong quá trình thực hiện, trường hợp có khó khăn, vướng mắc, đề nghị các cơ quan, tổ chức, cá nhân phản ánh kịp thời về Bộ Tài chính để được giải quyết./.</w:t>
      </w:r>
    </w:p>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sz w:val="24"/>
          <w:szCs w:val="24"/>
        </w:rPr>
        <w:lastRenderedPageBreak/>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419A9" w:rsidRPr="008419A9" w:rsidTr="008419A9">
        <w:trPr>
          <w:tblCellSpacing w:w="0" w:type="dxa"/>
        </w:trPr>
        <w:tc>
          <w:tcPr>
            <w:tcW w:w="4428" w:type="dxa"/>
            <w:tcMar>
              <w:top w:w="0" w:type="dxa"/>
              <w:left w:w="108" w:type="dxa"/>
              <w:bottom w:w="0" w:type="dxa"/>
              <w:right w:w="108" w:type="dxa"/>
            </w:tcMar>
            <w:hideMark/>
          </w:tcPr>
          <w:p w:rsidR="008419A9" w:rsidRPr="008419A9" w:rsidRDefault="008419A9" w:rsidP="008419A9">
            <w:pPr>
              <w:spacing w:before="120" w:after="100" w:afterAutospacing="1" w:line="240" w:lineRule="auto"/>
              <w:rPr>
                <w:rFonts w:ascii="Times New Roman" w:eastAsia="Times New Roman" w:hAnsi="Times New Roman" w:cs="Times New Roman"/>
                <w:sz w:val="24"/>
                <w:szCs w:val="24"/>
              </w:rPr>
            </w:pPr>
            <w:r w:rsidRPr="008419A9">
              <w:rPr>
                <w:rFonts w:ascii="Times New Roman" w:eastAsia="Times New Roman" w:hAnsi="Times New Roman" w:cs="Times New Roman"/>
                <w:b/>
                <w:bCs/>
                <w:i/>
                <w:iCs/>
                <w:sz w:val="24"/>
                <w:szCs w:val="24"/>
              </w:rPr>
              <w:br/>
              <w:t>Nơi nhận:</w:t>
            </w:r>
            <w:r w:rsidRPr="008419A9">
              <w:rPr>
                <w:rFonts w:ascii="Times New Roman" w:eastAsia="Times New Roman" w:hAnsi="Times New Roman" w:cs="Times New Roman"/>
                <w:b/>
                <w:bCs/>
                <w:i/>
                <w:iCs/>
                <w:sz w:val="24"/>
                <w:szCs w:val="24"/>
              </w:rPr>
              <w:br/>
            </w:r>
            <w:r w:rsidRPr="008419A9">
              <w:rPr>
                <w:rFonts w:ascii="Times New Roman" w:eastAsia="Times New Roman" w:hAnsi="Times New Roman" w:cs="Times New Roman"/>
                <w:sz w:val="16"/>
                <w:szCs w:val="16"/>
              </w:rPr>
              <w:t>- Ban Bí thư Trung ương Đảng;</w:t>
            </w:r>
            <w:r w:rsidRPr="008419A9">
              <w:rPr>
                <w:rFonts w:ascii="Times New Roman" w:eastAsia="Times New Roman" w:hAnsi="Times New Roman" w:cs="Times New Roman"/>
                <w:sz w:val="16"/>
                <w:szCs w:val="16"/>
              </w:rPr>
              <w:br/>
              <w:t>- Thủ tướng, các Phó Thủ tướng Chính phủ;</w:t>
            </w:r>
            <w:r w:rsidRPr="008419A9">
              <w:rPr>
                <w:rFonts w:ascii="Times New Roman" w:eastAsia="Times New Roman" w:hAnsi="Times New Roman" w:cs="Times New Roman"/>
                <w:sz w:val="16"/>
                <w:szCs w:val="16"/>
              </w:rPr>
              <w:br/>
              <w:t>- Văn phòng Trung ương Đảng và các Ban của Đảng;</w:t>
            </w:r>
            <w:r w:rsidRPr="008419A9">
              <w:rPr>
                <w:rFonts w:ascii="Times New Roman" w:eastAsia="Times New Roman" w:hAnsi="Times New Roman" w:cs="Times New Roman"/>
                <w:sz w:val="16"/>
                <w:szCs w:val="16"/>
              </w:rPr>
              <w:br/>
              <w:t>- Văn phòng Tổng Bí thư;</w:t>
            </w:r>
            <w:r w:rsidRPr="008419A9">
              <w:rPr>
                <w:rFonts w:ascii="Times New Roman" w:eastAsia="Times New Roman" w:hAnsi="Times New Roman" w:cs="Times New Roman"/>
                <w:sz w:val="16"/>
                <w:szCs w:val="16"/>
              </w:rPr>
              <w:br/>
              <w:t>- Văn phòng Quốc hội;</w:t>
            </w:r>
            <w:r w:rsidRPr="008419A9">
              <w:rPr>
                <w:rFonts w:ascii="Times New Roman" w:eastAsia="Times New Roman" w:hAnsi="Times New Roman" w:cs="Times New Roman"/>
                <w:sz w:val="16"/>
                <w:szCs w:val="16"/>
              </w:rPr>
              <w:br/>
              <w:t>- Văn phòng Chính phủ;</w:t>
            </w:r>
            <w:r w:rsidRPr="008419A9">
              <w:rPr>
                <w:rFonts w:ascii="Times New Roman" w:eastAsia="Times New Roman" w:hAnsi="Times New Roman" w:cs="Times New Roman"/>
                <w:sz w:val="16"/>
                <w:szCs w:val="16"/>
              </w:rPr>
              <w:br/>
              <w:t>- Hội đồng Dân tộc;</w:t>
            </w:r>
            <w:r w:rsidRPr="008419A9">
              <w:rPr>
                <w:rFonts w:ascii="Times New Roman" w:eastAsia="Times New Roman" w:hAnsi="Times New Roman" w:cs="Times New Roman"/>
                <w:sz w:val="16"/>
                <w:szCs w:val="16"/>
              </w:rPr>
              <w:br/>
              <w:t>- Ủy ban Kinh tế và Tài chính;</w:t>
            </w:r>
            <w:r w:rsidRPr="008419A9">
              <w:rPr>
                <w:rFonts w:ascii="Times New Roman" w:eastAsia="Times New Roman" w:hAnsi="Times New Roman" w:cs="Times New Roman"/>
                <w:sz w:val="16"/>
                <w:szCs w:val="16"/>
              </w:rPr>
              <w:br/>
              <w:t>- Văn phòng Chủ tịch nước;</w:t>
            </w:r>
            <w:r w:rsidRPr="008419A9">
              <w:rPr>
                <w:rFonts w:ascii="Times New Roman" w:eastAsia="Times New Roman" w:hAnsi="Times New Roman" w:cs="Times New Roman"/>
                <w:sz w:val="16"/>
                <w:szCs w:val="16"/>
              </w:rPr>
              <w:br/>
              <w:t>- Viện kiểm sát nhân dân tối cao;</w:t>
            </w:r>
            <w:r w:rsidRPr="008419A9">
              <w:rPr>
                <w:rFonts w:ascii="Times New Roman" w:eastAsia="Times New Roman" w:hAnsi="Times New Roman" w:cs="Times New Roman"/>
                <w:sz w:val="16"/>
                <w:szCs w:val="16"/>
              </w:rPr>
              <w:br/>
              <w:t>- Tòa án nhân dân tối cao;</w:t>
            </w:r>
            <w:r w:rsidRPr="008419A9">
              <w:rPr>
                <w:rFonts w:ascii="Times New Roman" w:eastAsia="Times New Roman" w:hAnsi="Times New Roman" w:cs="Times New Roman"/>
                <w:sz w:val="16"/>
                <w:szCs w:val="16"/>
              </w:rPr>
              <w:br/>
              <w:t>- Kiểm toán nhà nước;</w:t>
            </w:r>
            <w:r w:rsidRPr="008419A9">
              <w:rPr>
                <w:rFonts w:ascii="Times New Roman" w:eastAsia="Times New Roman" w:hAnsi="Times New Roman" w:cs="Times New Roman"/>
                <w:sz w:val="16"/>
                <w:szCs w:val="16"/>
              </w:rPr>
              <w:br/>
              <w:t>- Cơ quan Trung ương của các đoàn thể;</w:t>
            </w:r>
            <w:r w:rsidRPr="008419A9">
              <w:rPr>
                <w:rFonts w:ascii="Times New Roman" w:eastAsia="Times New Roman" w:hAnsi="Times New Roman" w:cs="Times New Roman"/>
                <w:sz w:val="16"/>
                <w:szCs w:val="16"/>
              </w:rPr>
              <w:br/>
              <w:t>- Các bộ, cơ quan ngang bộ, cơ quan thuộc Chính phủ;</w:t>
            </w:r>
            <w:r w:rsidRPr="008419A9">
              <w:rPr>
                <w:rFonts w:ascii="Times New Roman" w:eastAsia="Times New Roman" w:hAnsi="Times New Roman" w:cs="Times New Roman"/>
                <w:sz w:val="16"/>
                <w:szCs w:val="16"/>
              </w:rPr>
              <w:br/>
              <w:t>- HĐND, UBND các tỉnh, thành phố trực thuộc trung ương;</w:t>
            </w:r>
            <w:r w:rsidRPr="008419A9">
              <w:rPr>
                <w:rFonts w:ascii="Times New Roman" w:eastAsia="Times New Roman" w:hAnsi="Times New Roman" w:cs="Times New Roman"/>
                <w:sz w:val="16"/>
                <w:szCs w:val="16"/>
              </w:rPr>
              <w:br/>
              <w:t>- Sở Tài chính, Thuế các tỉnh, thành phố trực thuộc trung ương;</w:t>
            </w:r>
            <w:r w:rsidRPr="008419A9">
              <w:rPr>
                <w:rFonts w:ascii="Times New Roman" w:eastAsia="Times New Roman" w:hAnsi="Times New Roman" w:cs="Times New Roman"/>
                <w:sz w:val="16"/>
                <w:szCs w:val="16"/>
              </w:rPr>
              <w:br/>
              <w:t>- Kho bạc Nhà nước khu vực;</w:t>
            </w:r>
            <w:r w:rsidRPr="008419A9">
              <w:rPr>
                <w:rFonts w:ascii="Times New Roman" w:eastAsia="Times New Roman" w:hAnsi="Times New Roman" w:cs="Times New Roman"/>
                <w:sz w:val="16"/>
                <w:szCs w:val="16"/>
              </w:rPr>
              <w:br/>
              <w:t>- Cục Kiểm tra văn bản và Quản lý xử lý vi phạm hành chính, Bộ Tư pháp;</w:t>
            </w:r>
            <w:r w:rsidRPr="008419A9">
              <w:rPr>
                <w:rFonts w:ascii="Times New Roman" w:eastAsia="Times New Roman" w:hAnsi="Times New Roman" w:cs="Times New Roman"/>
                <w:sz w:val="16"/>
                <w:szCs w:val="16"/>
              </w:rPr>
              <w:br/>
              <w:t>- Công báo, Cổng Thông tin điện tử của Chính phủ;</w:t>
            </w:r>
            <w:r w:rsidRPr="008419A9">
              <w:rPr>
                <w:rFonts w:ascii="Times New Roman" w:eastAsia="Times New Roman" w:hAnsi="Times New Roman" w:cs="Times New Roman"/>
                <w:sz w:val="16"/>
                <w:szCs w:val="16"/>
              </w:rPr>
              <w:br/>
              <w:t>- Cổng Thông tin điện tử Bộ Tài chính;</w:t>
            </w:r>
            <w:r w:rsidRPr="008419A9">
              <w:rPr>
                <w:rFonts w:ascii="Times New Roman" w:eastAsia="Times New Roman" w:hAnsi="Times New Roman" w:cs="Times New Roman"/>
                <w:sz w:val="16"/>
                <w:szCs w:val="16"/>
              </w:rPr>
              <w:br/>
              <w:t>- Cổng Thông tin điện tử UBCKNN;</w:t>
            </w:r>
            <w:r w:rsidRPr="008419A9">
              <w:rPr>
                <w:rFonts w:ascii="Times New Roman" w:eastAsia="Times New Roman" w:hAnsi="Times New Roman" w:cs="Times New Roman"/>
                <w:sz w:val="16"/>
                <w:szCs w:val="16"/>
              </w:rPr>
              <w:br/>
              <w:t>- Các đơn vị thuộc Bộ Tài chính;</w:t>
            </w:r>
            <w:r w:rsidRPr="008419A9">
              <w:rPr>
                <w:rFonts w:ascii="Times New Roman" w:eastAsia="Times New Roman" w:hAnsi="Times New Roman" w:cs="Times New Roman"/>
                <w:sz w:val="16"/>
                <w:szCs w:val="16"/>
              </w:rPr>
              <w:br/>
              <w:t>- Lưu: VT, UBCK (02b).70</w:t>
            </w:r>
          </w:p>
        </w:tc>
        <w:tc>
          <w:tcPr>
            <w:tcW w:w="4428" w:type="dxa"/>
            <w:tcMar>
              <w:top w:w="0" w:type="dxa"/>
              <w:left w:w="108" w:type="dxa"/>
              <w:bottom w:w="0" w:type="dxa"/>
              <w:right w:w="108" w:type="dxa"/>
            </w:tcMar>
            <w:hideMark/>
          </w:tcPr>
          <w:p w:rsidR="008419A9" w:rsidRPr="008419A9" w:rsidRDefault="008419A9" w:rsidP="008419A9">
            <w:pPr>
              <w:spacing w:before="120" w:after="100" w:afterAutospacing="1" w:line="240" w:lineRule="auto"/>
              <w:jc w:val="center"/>
              <w:rPr>
                <w:rFonts w:ascii="Times New Roman" w:eastAsia="Times New Roman" w:hAnsi="Times New Roman" w:cs="Times New Roman"/>
                <w:sz w:val="24"/>
                <w:szCs w:val="24"/>
              </w:rPr>
            </w:pPr>
            <w:r w:rsidRPr="008419A9">
              <w:rPr>
                <w:rFonts w:ascii="Times New Roman" w:eastAsia="Times New Roman" w:hAnsi="Times New Roman" w:cs="Times New Roman"/>
                <w:b/>
                <w:bCs/>
                <w:sz w:val="24"/>
                <w:szCs w:val="24"/>
              </w:rPr>
              <w:t>KT. BỘ TRƯỞNG</w:t>
            </w:r>
            <w:r w:rsidRPr="008419A9">
              <w:rPr>
                <w:rFonts w:ascii="Times New Roman" w:eastAsia="Times New Roman" w:hAnsi="Times New Roman" w:cs="Times New Roman"/>
                <w:b/>
                <w:bCs/>
                <w:sz w:val="24"/>
                <w:szCs w:val="24"/>
              </w:rPr>
              <w:br/>
              <w:t>THỨ TRƯỞNG</w:t>
            </w:r>
            <w:r w:rsidRPr="008419A9">
              <w:rPr>
                <w:rFonts w:ascii="Times New Roman" w:eastAsia="Times New Roman" w:hAnsi="Times New Roman" w:cs="Times New Roman"/>
                <w:b/>
                <w:bCs/>
                <w:sz w:val="24"/>
                <w:szCs w:val="24"/>
              </w:rPr>
              <w:br/>
            </w:r>
            <w:r w:rsidRPr="008419A9">
              <w:rPr>
                <w:rFonts w:ascii="Times New Roman" w:eastAsia="Times New Roman" w:hAnsi="Times New Roman" w:cs="Times New Roman"/>
                <w:b/>
                <w:bCs/>
                <w:sz w:val="24"/>
                <w:szCs w:val="24"/>
              </w:rPr>
              <w:br/>
            </w:r>
            <w:r w:rsidRPr="008419A9">
              <w:rPr>
                <w:rFonts w:ascii="Times New Roman" w:eastAsia="Times New Roman" w:hAnsi="Times New Roman" w:cs="Times New Roman"/>
                <w:b/>
                <w:bCs/>
                <w:sz w:val="24"/>
                <w:szCs w:val="24"/>
              </w:rPr>
              <w:br/>
            </w:r>
            <w:r w:rsidRPr="008419A9">
              <w:rPr>
                <w:rFonts w:ascii="Times New Roman" w:eastAsia="Times New Roman" w:hAnsi="Times New Roman" w:cs="Times New Roman"/>
                <w:b/>
                <w:bCs/>
                <w:sz w:val="24"/>
                <w:szCs w:val="24"/>
              </w:rPr>
              <w:br/>
            </w:r>
            <w:r w:rsidRPr="008419A9">
              <w:rPr>
                <w:rFonts w:ascii="Times New Roman" w:eastAsia="Times New Roman" w:hAnsi="Times New Roman" w:cs="Times New Roman"/>
                <w:b/>
                <w:bCs/>
                <w:sz w:val="24"/>
                <w:szCs w:val="24"/>
              </w:rPr>
              <w:br/>
              <w:t>Nguyễn Đức Chi</w:t>
            </w:r>
          </w:p>
        </w:tc>
      </w:tr>
    </w:tbl>
    <w:p w:rsidR="00B72C99" w:rsidRDefault="00B72C99"/>
    <w:sectPr w:rsidR="00B72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A9"/>
    <w:rsid w:val="008419A9"/>
    <w:rsid w:val="00B7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93E6"/>
  <w15:chartTrackingRefBased/>
  <w15:docId w15:val="{076BF78C-CD25-43DC-98E8-ADF78F0A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8419A9"/>
  </w:style>
  <w:style w:type="character" w:customStyle="1" w:styleId="vjs-current-time-display">
    <w:name w:val="vjs-current-time-display"/>
    <w:basedOn w:val="DefaultParagraphFont"/>
    <w:rsid w:val="008419A9"/>
  </w:style>
  <w:style w:type="character" w:customStyle="1" w:styleId="vjs-duration-display">
    <w:name w:val="vjs-duration-display"/>
    <w:basedOn w:val="DefaultParagraphFont"/>
    <w:rsid w:val="008419A9"/>
  </w:style>
  <w:style w:type="character" w:styleId="Hyperlink">
    <w:name w:val="Hyperlink"/>
    <w:basedOn w:val="DefaultParagraphFont"/>
    <w:uiPriority w:val="99"/>
    <w:semiHidden/>
    <w:unhideWhenUsed/>
    <w:rsid w:val="00841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459141">
      <w:bodyDiv w:val="1"/>
      <w:marLeft w:val="0"/>
      <w:marRight w:val="0"/>
      <w:marTop w:val="0"/>
      <w:marBottom w:val="0"/>
      <w:divBdr>
        <w:top w:val="none" w:sz="0" w:space="0" w:color="auto"/>
        <w:left w:val="none" w:sz="0" w:space="0" w:color="auto"/>
        <w:bottom w:val="none" w:sz="0" w:space="0" w:color="auto"/>
        <w:right w:val="none" w:sz="0" w:space="0" w:color="auto"/>
      </w:divBdr>
      <w:divsChild>
        <w:div w:id="1807548655">
          <w:marLeft w:val="0"/>
          <w:marRight w:val="0"/>
          <w:marTop w:val="0"/>
          <w:marBottom w:val="0"/>
          <w:divBdr>
            <w:top w:val="none" w:sz="0" w:space="0" w:color="auto"/>
            <w:left w:val="none" w:sz="0" w:space="0" w:color="auto"/>
            <w:bottom w:val="none" w:sz="0" w:space="0" w:color="auto"/>
            <w:right w:val="none" w:sz="0" w:space="0" w:color="auto"/>
          </w:divBdr>
        </w:div>
        <w:div w:id="1356269937">
          <w:marLeft w:val="0"/>
          <w:marRight w:val="0"/>
          <w:marTop w:val="0"/>
          <w:marBottom w:val="0"/>
          <w:divBdr>
            <w:top w:val="none" w:sz="0" w:space="0" w:color="auto"/>
            <w:left w:val="none" w:sz="0" w:space="0" w:color="auto"/>
            <w:bottom w:val="none" w:sz="0" w:space="0" w:color="auto"/>
            <w:right w:val="none" w:sz="0" w:space="0" w:color="auto"/>
          </w:divBdr>
        </w:div>
        <w:div w:id="1064791797">
          <w:marLeft w:val="0"/>
          <w:marRight w:val="0"/>
          <w:marTop w:val="0"/>
          <w:marBottom w:val="0"/>
          <w:divBdr>
            <w:top w:val="none" w:sz="0" w:space="0" w:color="auto"/>
            <w:left w:val="none" w:sz="0" w:space="0" w:color="auto"/>
            <w:bottom w:val="none" w:sz="0" w:space="0" w:color="auto"/>
            <w:right w:val="none" w:sz="0" w:space="0" w:color="auto"/>
          </w:divBdr>
          <w:divsChild>
            <w:div w:id="1329600258">
              <w:marLeft w:val="0"/>
              <w:marRight w:val="0"/>
              <w:marTop w:val="0"/>
              <w:marBottom w:val="0"/>
              <w:divBdr>
                <w:top w:val="none" w:sz="0" w:space="0" w:color="auto"/>
                <w:left w:val="none" w:sz="0" w:space="0" w:color="auto"/>
                <w:bottom w:val="none" w:sz="0" w:space="0" w:color="auto"/>
                <w:right w:val="none" w:sz="0" w:space="0" w:color="auto"/>
              </w:divBdr>
            </w:div>
          </w:divsChild>
        </w:div>
        <w:div w:id="1135951158">
          <w:marLeft w:val="0"/>
          <w:marRight w:val="0"/>
          <w:marTop w:val="0"/>
          <w:marBottom w:val="0"/>
          <w:divBdr>
            <w:top w:val="none" w:sz="0" w:space="0" w:color="auto"/>
            <w:left w:val="none" w:sz="0" w:space="0" w:color="auto"/>
            <w:bottom w:val="none" w:sz="0" w:space="0" w:color="auto"/>
            <w:right w:val="none" w:sz="0" w:space="0" w:color="auto"/>
          </w:divBdr>
        </w:div>
        <w:div w:id="1954827856">
          <w:marLeft w:val="0"/>
          <w:marRight w:val="0"/>
          <w:marTop w:val="0"/>
          <w:marBottom w:val="0"/>
          <w:divBdr>
            <w:top w:val="none" w:sz="0" w:space="0" w:color="auto"/>
            <w:left w:val="none" w:sz="0" w:space="0" w:color="auto"/>
            <w:bottom w:val="none" w:sz="0" w:space="0" w:color="auto"/>
            <w:right w:val="none" w:sz="0" w:space="0" w:color="auto"/>
          </w:divBdr>
          <w:divsChild>
            <w:div w:id="1906137107">
              <w:marLeft w:val="0"/>
              <w:marRight w:val="0"/>
              <w:marTop w:val="100"/>
              <w:marBottom w:val="100"/>
              <w:divBdr>
                <w:top w:val="none" w:sz="0" w:space="0" w:color="auto"/>
                <w:left w:val="none" w:sz="0" w:space="0" w:color="auto"/>
                <w:bottom w:val="none" w:sz="0" w:space="0" w:color="auto"/>
                <w:right w:val="none" w:sz="0" w:space="0" w:color="auto"/>
              </w:divBdr>
              <w:divsChild>
                <w:div w:id="954366787">
                  <w:marLeft w:val="0"/>
                  <w:marRight w:val="0"/>
                  <w:marTop w:val="0"/>
                  <w:marBottom w:val="0"/>
                  <w:divBdr>
                    <w:top w:val="none" w:sz="0" w:space="0" w:color="auto"/>
                    <w:left w:val="none" w:sz="0" w:space="0" w:color="auto"/>
                    <w:bottom w:val="none" w:sz="0" w:space="0" w:color="auto"/>
                    <w:right w:val="none" w:sz="0" w:space="0" w:color="auto"/>
                  </w:divBdr>
                  <w:divsChild>
                    <w:div w:id="17427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V5310-3</dc:creator>
  <cp:keywords/>
  <dc:description/>
  <cp:lastModifiedBy>V5310-3</cp:lastModifiedBy>
  <cp:revision>1</cp:revision>
  <dcterms:created xsi:type="dcterms:W3CDTF">2025-08-03T05:48:00Z</dcterms:created>
  <dcterms:modified xsi:type="dcterms:W3CDTF">2025-08-03T05:48:00Z</dcterms:modified>
</cp:coreProperties>
</file>